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CA3" w:rsidRDefault="000B7E2C" w:rsidP="002758EB">
      <w:pPr>
        <w:pStyle w:val="Title"/>
        <w:jc w:val="center"/>
        <w:rPr>
          <w:sz w:val="40"/>
          <w:szCs w:val="40"/>
        </w:rPr>
      </w:pPr>
      <w:r>
        <w:rPr>
          <w:sz w:val="40"/>
          <w:szCs w:val="40"/>
        </w:rPr>
        <w:t xml:space="preserve"> </w:t>
      </w:r>
      <w:r w:rsidR="005E3E1D">
        <w:rPr>
          <w:noProof/>
          <w:sz w:val="40"/>
          <w:szCs w:val="40"/>
          <w:lang w:eastAsia="en-IE"/>
        </w:rPr>
        <w:drawing>
          <wp:inline distT="0" distB="0" distL="0" distR="0" wp14:anchorId="05728581" wp14:editId="15784D0E">
            <wp:extent cx="2286005" cy="9144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5" cy="914402"/>
                    </a:xfrm>
                    <a:prstGeom prst="rect">
                      <a:avLst/>
                    </a:prstGeom>
                  </pic:spPr>
                </pic:pic>
              </a:graphicData>
            </a:graphic>
          </wp:inline>
        </w:drawing>
      </w:r>
    </w:p>
    <w:p w:rsidR="005C6CA3" w:rsidRDefault="005C6CA3" w:rsidP="002758EB">
      <w:pPr>
        <w:pStyle w:val="Title"/>
        <w:jc w:val="center"/>
        <w:rPr>
          <w:sz w:val="40"/>
          <w:szCs w:val="40"/>
        </w:rPr>
      </w:pPr>
    </w:p>
    <w:p w:rsidR="00BD7812" w:rsidRDefault="00BD7812" w:rsidP="005C6CA3">
      <w:pPr>
        <w:pStyle w:val="Title"/>
        <w:jc w:val="center"/>
        <w:rPr>
          <w:sz w:val="40"/>
          <w:szCs w:val="40"/>
          <w:u w:val="single"/>
        </w:rPr>
      </w:pPr>
    </w:p>
    <w:p w:rsidR="00BD7812" w:rsidRDefault="00BD7812" w:rsidP="005C6CA3">
      <w:pPr>
        <w:pStyle w:val="Title"/>
        <w:jc w:val="center"/>
        <w:rPr>
          <w:sz w:val="40"/>
          <w:szCs w:val="40"/>
          <w:u w:val="single"/>
        </w:rPr>
      </w:pPr>
    </w:p>
    <w:p w:rsidR="002758EB" w:rsidRDefault="005C6CA3" w:rsidP="005C6CA3">
      <w:pPr>
        <w:pStyle w:val="Title"/>
        <w:jc w:val="center"/>
        <w:rPr>
          <w:sz w:val="40"/>
          <w:szCs w:val="40"/>
          <w:u w:val="single"/>
        </w:rPr>
      </w:pPr>
      <w:r w:rsidRPr="00E83F91">
        <w:rPr>
          <w:sz w:val="40"/>
          <w:szCs w:val="40"/>
          <w:u w:val="single"/>
        </w:rPr>
        <w:t xml:space="preserve">Statement </w:t>
      </w:r>
      <w:r w:rsidR="00BD7812">
        <w:rPr>
          <w:sz w:val="40"/>
          <w:szCs w:val="40"/>
          <w:u w:val="single"/>
        </w:rPr>
        <w:br/>
      </w:r>
    </w:p>
    <w:p w:rsidR="00CE5602" w:rsidRPr="002758EB" w:rsidRDefault="00E279ED" w:rsidP="002758EB">
      <w:pPr>
        <w:pStyle w:val="Title"/>
        <w:jc w:val="center"/>
        <w:rPr>
          <w:i/>
          <w:sz w:val="40"/>
          <w:szCs w:val="40"/>
        </w:rPr>
      </w:pPr>
      <w:r>
        <w:rPr>
          <w:i/>
          <w:sz w:val="40"/>
          <w:szCs w:val="40"/>
        </w:rPr>
        <w:t xml:space="preserve">to </w:t>
      </w:r>
      <w:r w:rsidR="00CE5602" w:rsidRPr="002758EB">
        <w:rPr>
          <w:i/>
          <w:sz w:val="40"/>
          <w:szCs w:val="40"/>
        </w:rPr>
        <w:t>the</w:t>
      </w:r>
    </w:p>
    <w:p w:rsidR="002758EB" w:rsidRDefault="00CE5602" w:rsidP="002758EB">
      <w:pPr>
        <w:pStyle w:val="Title"/>
        <w:jc w:val="center"/>
        <w:rPr>
          <w:sz w:val="40"/>
          <w:szCs w:val="40"/>
        </w:rPr>
      </w:pPr>
      <w:r>
        <w:rPr>
          <w:sz w:val="40"/>
          <w:szCs w:val="40"/>
        </w:rPr>
        <w:t xml:space="preserve">Oireachtas Joint Committee </w:t>
      </w:r>
    </w:p>
    <w:p w:rsidR="00CE5602" w:rsidRDefault="00CE5602" w:rsidP="002758EB">
      <w:pPr>
        <w:pStyle w:val="Title"/>
        <w:jc w:val="center"/>
        <w:rPr>
          <w:sz w:val="40"/>
          <w:szCs w:val="40"/>
        </w:rPr>
      </w:pPr>
      <w:r>
        <w:rPr>
          <w:sz w:val="40"/>
          <w:szCs w:val="40"/>
        </w:rPr>
        <w:t>on Education and Skills</w:t>
      </w:r>
      <w:r w:rsidR="00BD7812">
        <w:rPr>
          <w:sz w:val="40"/>
          <w:szCs w:val="40"/>
        </w:rPr>
        <w:br/>
      </w:r>
    </w:p>
    <w:p w:rsidR="00BD6C9C" w:rsidRDefault="002758EB" w:rsidP="002758EB">
      <w:pPr>
        <w:pStyle w:val="Title"/>
        <w:jc w:val="center"/>
        <w:rPr>
          <w:i/>
          <w:sz w:val="40"/>
          <w:szCs w:val="40"/>
        </w:rPr>
      </w:pPr>
      <w:r w:rsidRPr="002758EB">
        <w:rPr>
          <w:i/>
          <w:sz w:val="40"/>
          <w:szCs w:val="40"/>
        </w:rPr>
        <w:t>o</w:t>
      </w:r>
      <w:r w:rsidR="00BD6C9C">
        <w:rPr>
          <w:i/>
          <w:sz w:val="40"/>
          <w:szCs w:val="40"/>
        </w:rPr>
        <w:t xml:space="preserve">n </w:t>
      </w:r>
    </w:p>
    <w:p w:rsidR="00BD6C9C" w:rsidRPr="00BD6C9C" w:rsidRDefault="00BD6C9C" w:rsidP="00BD7812">
      <w:pPr>
        <w:pStyle w:val="Title"/>
        <w:jc w:val="center"/>
      </w:pPr>
      <w:r>
        <w:rPr>
          <w:i/>
          <w:sz w:val="40"/>
          <w:szCs w:val="40"/>
        </w:rPr>
        <w:t>Investing in National Ambition: a strategy for Funding Higher Education</w:t>
      </w:r>
      <w:r w:rsidR="00CE5602" w:rsidRPr="002758EB">
        <w:rPr>
          <w:i/>
          <w:sz w:val="40"/>
          <w:szCs w:val="40"/>
        </w:rPr>
        <w:t xml:space="preserve"> </w:t>
      </w:r>
      <w:r w:rsidR="00BD7812">
        <w:rPr>
          <w:i/>
          <w:sz w:val="40"/>
          <w:szCs w:val="40"/>
        </w:rPr>
        <w:br/>
      </w:r>
    </w:p>
    <w:p w:rsidR="002758EB" w:rsidRDefault="00CE5602" w:rsidP="002758EB">
      <w:pPr>
        <w:pStyle w:val="Title"/>
        <w:jc w:val="center"/>
        <w:rPr>
          <w:sz w:val="40"/>
          <w:szCs w:val="40"/>
        </w:rPr>
      </w:pPr>
      <w:r>
        <w:rPr>
          <w:sz w:val="40"/>
          <w:szCs w:val="40"/>
        </w:rPr>
        <w:t>Report of the Expert Group</w:t>
      </w:r>
      <w:r w:rsidR="005E3E1D">
        <w:rPr>
          <w:sz w:val="40"/>
          <w:szCs w:val="40"/>
        </w:rPr>
        <w:t xml:space="preserve"> on the</w:t>
      </w:r>
      <w:r>
        <w:rPr>
          <w:sz w:val="40"/>
          <w:szCs w:val="40"/>
        </w:rPr>
        <w:t xml:space="preserve"> </w:t>
      </w:r>
    </w:p>
    <w:p w:rsidR="00CE5602" w:rsidRDefault="00CE5602" w:rsidP="002758EB">
      <w:pPr>
        <w:pStyle w:val="Title"/>
        <w:jc w:val="center"/>
        <w:rPr>
          <w:sz w:val="40"/>
          <w:szCs w:val="40"/>
        </w:rPr>
      </w:pPr>
      <w:r>
        <w:rPr>
          <w:sz w:val="40"/>
          <w:szCs w:val="40"/>
        </w:rPr>
        <w:t>Future Funding of Higher Education</w:t>
      </w:r>
      <w:r w:rsidR="00D71E9B">
        <w:rPr>
          <w:sz w:val="40"/>
          <w:szCs w:val="40"/>
        </w:rPr>
        <w:br/>
      </w:r>
      <w:r w:rsidR="00D71E9B">
        <w:rPr>
          <w:sz w:val="40"/>
          <w:szCs w:val="40"/>
        </w:rPr>
        <w:br/>
        <w:t>10</w:t>
      </w:r>
      <w:r w:rsidR="00D71E9B">
        <w:rPr>
          <w:sz w:val="40"/>
          <w:szCs w:val="40"/>
          <w:vertAlign w:val="superscript"/>
        </w:rPr>
        <w:t>th</w:t>
      </w:r>
      <w:r w:rsidR="00D71E9B">
        <w:rPr>
          <w:sz w:val="40"/>
          <w:szCs w:val="40"/>
        </w:rPr>
        <w:t xml:space="preserve"> November 2016</w:t>
      </w:r>
    </w:p>
    <w:p w:rsidR="00CE5602" w:rsidRDefault="00CE5602" w:rsidP="00843FCB">
      <w:pPr>
        <w:pStyle w:val="Title"/>
        <w:jc w:val="both"/>
        <w:rPr>
          <w:sz w:val="40"/>
          <w:szCs w:val="40"/>
        </w:rPr>
      </w:pPr>
    </w:p>
    <w:p w:rsidR="00CE5602" w:rsidRDefault="00CE5602" w:rsidP="00843FCB">
      <w:pPr>
        <w:pStyle w:val="Title"/>
        <w:jc w:val="both"/>
        <w:rPr>
          <w:sz w:val="40"/>
          <w:szCs w:val="40"/>
        </w:rPr>
      </w:pPr>
    </w:p>
    <w:p w:rsidR="00296469" w:rsidRDefault="00296469">
      <w:r>
        <w:br w:type="page"/>
      </w:r>
    </w:p>
    <w:p w:rsidR="00BD6C9C" w:rsidRPr="0003714C" w:rsidRDefault="00296469" w:rsidP="00843FCB">
      <w:pPr>
        <w:pStyle w:val="Title"/>
        <w:jc w:val="both"/>
        <w:rPr>
          <w:sz w:val="24"/>
          <w:szCs w:val="24"/>
        </w:rPr>
      </w:pPr>
      <w:r w:rsidRPr="0003714C">
        <w:rPr>
          <w:sz w:val="24"/>
          <w:szCs w:val="24"/>
        </w:rPr>
        <w:lastRenderedPageBreak/>
        <w:t>Opening Statement</w:t>
      </w:r>
      <w:r w:rsidR="003C58F8" w:rsidRPr="0003714C">
        <w:rPr>
          <w:sz w:val="24"/>
          <w:szCs w:val="24"/>
        </w:rPr>
        <w:t xml:space="preserve"> by Professor Don Barry, </w:t>
      </w:r>
      <w:r w:rsidR="005C6AD3" w:rsidRPr="0003714C">
        <w:rPr>
          <w:sz w:val="24"/>
          <w:szCs w:val="24"/>
        </w:rPr>
        <w:t>Chair</w:t>
      </w:r>
      <w:r w:rsidR="003C58F8" w:rsidRPr="0003714C">
        <w:rPr>
          <w:sz w:val="24"/>
          <w:szCs w:val="24"/>
        </w:rPr>
        <w:t>, Irish Universities Association</w:t>
      </w:r>
    </w:p>
    <w:p w:rsidR="00296469" w:rsidRPr="0003714C" w:rsidRDefault="005C6CA3" w:rsidP="00C103B2">
      <w:pPr>
        <w:pStyle w:val="Heading3"/>
        <w:spacing w:line="360" w:lineRule="auto"/>
        <w:rPr>
          <w:sz w:val="24"/>
          <w:szCs w:val="24"/>
        </w:rPr>
      </w:pPr>
      <w:r w:rsidRPr="0003714C">
        <w:rPr>
          <w:sz w:val="24"/>
          <w:szCs w:val="24"/>
        </w:rPr>
        <w:t xml:space="preserve">1. </w:t>
      </w:r>
      <w:r w:rsidR="00296469" w:rsidRPr="0003714C">
        <w:rPr>
          <w:sz w:val="24"/>
          <w:szCs w:val="24"/>
        </w:rPr>
        <w:t>Introduction</w:t>
      </w:r>
    </w:p>
    <w:p w:rsidR="00296469" w:rsidRPr="0003714C" w:rsidRDefault="00296469" w:rsidP="00C103B2">
      <w:pPr>
        <w:spacing w:line="360" w:lineRule="auto"/>
        <w:jc w:val="both"/>
        <w:rPr>
          <w:sz w:val="24"/>
          <w:szCs w:val="24"/>
        </w:rPr>
      </w:pPr>
      <w:r w:rsidRPr="0003714C">
        <w:rPr>
          <w:sz w:val="24"/>
          <w:szCs w:val="24"/>
        </w:rPr>
        <w:t>On behalf of my colleague members</w:t>
      </w:r>
      <w:r w:rsidR="005C6CA3" w:rsidRPr="0003714C">
        <w:rPr>
          <w:sz w:val="24"/>
          <w:szCs w:val="24"/>
        </w:rPr>
        <w:t xml:space="preserve"> of Council,</w:t>
      </w:r>
      <w:r w:rsidRPr="0003714C">
        <w:rPr>
          <w:sz w:val="24"/>
          <w:szCs w:val="24"/>
        </w:rPr>
        <w:t xml:space="preserve"> I am grateful to the Committee for</w:t>
      </w:r>
      <w:r w:rsidR="006576E4" w:rsidRPr="0003714C">
        <w:rPr>
          <w:sz w:val="24"/>
          <w:szCs w:val="24"/>
        </w:rPr>
        <w:t xml:space="preserve"> the opportunity to discuss </w:t>
      </w:r>
      <w:r w:rsidRPr="0003714C">
        <w:rPr>
          <w:sz w:val="24"/>
          <w:szCs w:val="24"/>
        </w:rPr>
        <w:t xml:space="preserve">the funding of Higher Education. </w:t>
      </w:r>
      <w:r w:rsidR="006576E4" w:rsidRPr="0003714C">
        <w:rPr>
          <w:sz w:val="24"/>
          <w:szCs w:val="24"/>
        </w:rPr>
        <w:t xml:space="preserve">We welcome </w:t>
      </w:r>
      <w:r w:rsidRPr="0003714C">
        <w:rPr>
          <w:sz w:val="24"/>
          <w:szCs w:val="24"/>
        </w:rPr>
        <w:t xml:space="preserve">the report </w:t>
      </w:r>
      <w:r w:rsidR="00CC0386" w:rsidRPr="0003714C">
        <w:rPr>
          <w:sz w:val="24"/>
          <w:szCs w:val="24"/>
        </w:rPr>
        <w:t xml:space="preserve">of the Expert Group on the Future Funding of Higher Education </w:t>
      </w:r>
      <w:r w:rsidRPr="0003714C">
        <w:rPr>
          <w:sz w:val="24"/>
          <w:szCs w:val="24"/>
        </w:rPr>
        <w:t xml:space="preserve">and </w:t>
      </w:r>
      <w:r w:rsidR="006576E4" w:rsidRPr="0003714C">
        <w:rPr>
          <w:sz w:val="24"/>
          <w:szCs w:val="24"/>
        </w:rPr>
        <w:t xml:space="preserve">endorse </w:t>
      </w:r>
      <w:r w:rsidRPr="0003714C">
        <w:rPr>
          <w:sz w:val="24"/>
          <w:szCs w:val="24"/>
        </w:rPr>
        <w:t xml:space="preserve">its findings. </w:t>
      </w:r>
      <w:r w:rsidR="00A03766" w:rsidRPr="0003714C">
        <w:rPr>
          <w:sz w:val="24"/>
          <w:szCs w:val="24"/>
        </w:rPr>
        <w:t xml:space="preserve">We would also like </w:t>
      </w:r>
      <w:r w:rsidR="00AC3155" w:rsidRPr="0003714C">
        <w:rPr>
          <w:sz w:val="24"/>
          <w:szCs w:val="24"/>
        </w:rPr>
        <w:t xml:space="preserve">to </w:t>
      </w:r>
      <w:r w:rsidRPr="0003714C">
        <w:rPr>
          <w:sz w:val="24"/>
          <w:szCs w:val="24"/>
        </w:rPr>
        <w:t>record our thanks to Peter Cassells, the members of the group and its secretariat, both for the report itself and also the extensive process of research, evidence gathering and consultation which has been distilled into the final text.</w:t>
      </w:r>
    </w:p>
    <w:p w:rsidR="0041493A" w:rsidRPr="0003714C" w:rsidRDefault="005C6CA3" w:rsidP="00C103B2">
      <w:pPr>
        <w:pStyle w:val="Heading3"/>
        <w:spacing w:line="360" w:lineRule="auto"/>
        <w:rPr>
          <w:sz w:val="24"/>
          <w:szCs w:val="24"/>
        </w:rPr>
      </w:pPr>
      <w:r w:rsidRPr="0003714C">
        <w:rPr>
          <w:sz w:val="24"/>
          <w:szCs w:val="24"/>
        </w:rPr>
        <w:t xml:space="preserve">2. </w:t>
      </w:r>
      <w:r w:rsidR="0041493A" w:rsidRPr="0003714C">
        <w:rPr>
          <w:sz w:val="24"/>
          <w:szCs w:val="24"/>
        </w:rPr>
        <w:t>The Case for Investment</w:t>
      </w:r>
    </w:p>
    <w:p w:rsidR="0041493A" w:rsidRPr="0003714C" w:rsidRDefault="006576E4" w:rsidP="00C103B2">
      <w:pPr>
        <w:spacing w:line="360" w:lineRule="auto"/>
        <w:jc w:val="both"/>
        <w:rPr>
          <w:sz w:val="24"/>
          <w:szCs w:val="24"/>
        </w:rPr>
      </w:pPr>
      <w:r w:rsidRPr="0003714C">
        <w:rPr>
          <w:sz w:val="24"/>
          <w:szCs w:val="24"/>
        </w:rPr>
        <w:t>The run up to the B</w:t>
      </w:r>
      <w:r w:rsidR="00A03766" w:rsidRPr="0003714C">
        <w:rPr>
          <w:sz w:val="24"/>
          <w:szCs w:val="24"/>
        </w:rPr>
        <w:t xml:space="preserve">udget and the recent private members motion debate in Dail Eireann </w:t>
      </w:r>
      <w:r w:rsidRPr="0003714C">
        <w:rPr>
          <w:sz w:val="24"/>
          <w:szCs w:val="24"/>
        </w:rPr>
        <w:t xml:space="preserve">demonstrate a </w:t>
      </w:r>
      <w:r w:rsidR="00A03766" w:rsidRPr="0003714C">
        <w:rPr>
          <w:sz w:val="24"/>
          <w:szCs w:val="24"/>
        </w:rPr>
        <w:t xml:space="preserve">broad acknowledgement of the </w:t>
      </w:r>
      <w:r w:rsidR="0041493A" w:rsidRPr="0003714C">
        <w:rPr>
          <w:sz w:val="24"/>
          <w:szCs w:val="24"/>
        </w:rPr>
        <w:t>difficulties caused by almost a decade of cutbacks in higher education funding. In our submission to the committee we set out the sca</w:t>
      </w:r>
      <w:r w:rsidR="005E14DD" w:rsidRPr="0003714C">
        <w:rPr>
          <w:sz w:val="24"/>
          <w:szCs w:val="24"/>
        </w:rPr>
        <w:t>l</w:t>
      </w:r>
      <w:r w:rsidR="00BD7812" w:rsidRPr="0003714C">
        <w:rPr>
          <w:sz w:val="24"/>
          <w:szCs w:val="24"/>
        </w:rPr>
        <w:t>e of those cutbacks and identify</w:t>
      </w:r>
      <w:r w:rsidR="0041493A" w:rsidRPr="0003714C">
        <w:rPr>
          <w:sz w:val="24"/>
          <w:szCs w:val="24"/>
        </w:rPr>
        <w:t xml:space="preserve"> their impact on the core grant, the unit of r</w:t>
      </w:r>
      <w:r w:rsidR="005E14DD" w:rsidRPr="0003714C">
        <w:rPr>
          <w:sz w:val="24"/>
          <w:szCs w:val="24"/>
        </w:rPr>
        <w:t xml:space="preserve">esource per student and </w:t>
      </w:r>
      <w:r w:rsidRPr="0003714C">
        <w:rPr>
          <w:sz w:val="24"/>
          <w:szCs w:val="24"/>
        </w:rPr>
        <w:t xml:space="preserve">on </w:t>
      </w:r>
      <w:r w:rsidR="005E14DD" w:rsidRPr="0003714C">
        <w:rPr>
          <w:sz w:val="24"/>
          <w:szCs w:val="24"/>
        </w:rPr>
        <w:t>student-</w:t>
      </w:r>
      <w:r w:rsidR="0041493A" w:rsidRPr="0003714C">
        <w:rPr>
          <w:sz w:val="24"/>
          <w:szCs w:val="24"/>
        </w:rPr>
        <w:t xml:space="preserve">staff ratios. Our findings mirror those of the </w:t>
      </w:r>
      <w:r w:rsidR="005C6CA3" w:rsidRPr="0003714C">
        <w:rPr>
          <w:sz w:val="24"/>
          <w:szCs w:val="24"/>
        </w:rPr>
        <w:t>C</w:t>
      </w:r>
      <w:r w:rsidR="0041493A" w:rsidRPr="0003714C">
        <w:rPr>
          <w:sz w:val="24"/>
          <w:szCs w:val="24"/>
        </w:rPr>
        <w:t>assells</w:t>
      </w:r>
      <w:r w:rsidR="005C6CA3" w:rsidRPr="0003714C">
        <w:rPr>
          <w:sz w:val="24"/>
          <w:szCs w:val="24"/>
        </w:rPr>
        <w:t>’</w:t>
      </w:r>
      <w:r w:rsidR="0041493A" w:rsidRPr="0003714C">
        <w:rPr>
          <w:sz w:val="24"/>
          <w:szCs w:val="24"/>
        </w:rPr>
        <w:t xml:space="preserve"> report. </w:t>
      </w:r>
    </w:p>
    <w:p w:rsidR="0041493A" w:rsidRPr="0003714C" w:rsidRDefault="006576E4" w:rsidP="00C103B2">
      <w:pPr>
        <w:spacing w:line="360" w:lineRule="auto"/>
        <w:jc w:val="both"/>
        <w:rPr>
          <w:sz w:val="24"/>
          <w:szCs w:val="24"/>
        </w:rPr>
      </w:pPr>
      <w:r w:rsidRPr="0003714C">
        <w:rPr>
          <w:sz w:val="24"/>
          <w:szCs w:val="24"/>
        </w:rPr>
        <w:t>F</w:t>
      </w:r>
      <w:r w:rsidR="005E14DD" w:rsidRPr="0003714C">
        <w:rPr>
          <w:sz w:val="24"/>
          <w:szCs w:val="24"/>
        </w:rPr>
        <w:t xml:space="preserve">alling resources </w:t>
      </w:r>
      <w:r w:rsidR="00A03766" w:rsidRPr="0003714C">
        <w:rPr>
          <w:sz w:val="24"/>
          <w:szCs w:val="24"/>
        </w:rPr>
        <w:t xml:space="preserve">do not by themselves justify </w:t>
      </w:r>
      <w:r w:rsidR="0041493A" w:rsidRPr="0003714C">
        <w:rPr>
          <w:sz w:val="24"/>
          <w:szCs w:val="24"/>
        </w:rPr>
        <w:t>increased investment. Any such investment must have a purpose and a benefit. The Cassells report clearly articulates the benefits of such investment across the headings of Economic Growth and Prosperity, Social Development, Culture and Civic Engagement.</w:t>
      </w:r>
      <w:r w:rsidR="00F17176" w:rsidRPr="0003714C">
        <w:rPr>
          <w:sz w:val="24"/>
          <w:szCs w:val="24"/>
        </w:rPr>
        <w:t xml:space="preserve"> </w:t>
      </w:r>
      <w:r w:rsidR="00A03766" w:rsidRPr="0003714C">
        <w:rPr>
          <w:sz w:val="24"/>
          <w:szCs w:val="24"/>
        </w:rPr>
        <w:t>T</w:t>
      </w:r>
      <w:r w:rsidR="00F17176" w:rsidRPr="0003714C">
        <w:rPr>
          <w:sz w:val="24"/>
          <w:szCs w:val="24"/>
        </w:rPr>
        <w:t xml:space="preserve">he group </w:t>
      </w:r>
      <w:r w:rsidRPr="0003714C">
        <w:rPr>
          <w:sz w:val="24"/>
          <w:szCs w:val="24"/>
        </w:rPr>
        <w:t>reflects a deep</w:t>
      </w:r>
      <w:r w:rsidR="00F17176" w:rsidRPr="0003714C">
        <w:rPr>
          <w:sz w:val="24"/>
          <w:szCs w:val="24"/>
        </w:rPr>
        <w:t xml:space="preserve"> understanding of the complex world which our graduates face now and into the future</w:t>
      </w:r>
      <w:r w:rsidRPr="0003714C">
        <w:rPr>
          <w:sz w:val="24"/>
          <w:szCs w:val="24"/>
        </w:rPr>
        <w:t xml:space="preserve"> and the importance of educational quality to the social and economic progress of our nation.</w:t>
      </w:r>
    </w:p>
    <w:p w:rsidR="00F17176" w:rsidRPr="0003714C" w:rsidRDefault="005C6CA3" w:rsidP="00C103B2">
      <w:pPr>
        <w:pStyle w:val="Heading3"/>
        <w:spacing w:line="360" w:lineRule="auto"/>
        <w:rPr>
          <w:sz w:val="24"/>
          <w:szCs w:val="24"/>
        </w:rPr>
      </w:pPr>
      <w:r w:rsidRPr="0003714C">
        <w:rPr>
          <w:sz w:val="24"/>
          <w:szCs w:val="24"/>
        </w:rPr>
        <w:t xml:space="preserve">3. </w:t>
      </w:r>
      <w:r w:rsidR="00F17176" w:rsidRPr="0003714C">
        <w:rPr>
          <w:sz w:val="24"/>
          <w:szCs w:val="24"/>
        </w:rPr>
        <w:t xml:space="preserve">The </w:t>
      </w:r>
      <w:r w:rsidR="003C58F8" w:rsidRPr="0003714C">
        <w:rPr>
          <w:sz w:val="24"/>
          <w:szCs w:val="24"/>
        </w:rPr>
        <w:t>Purpose of I</w:t>
      </w:r>
      <w:r w:rsidR="00F17176" w:rsidRPr="0003714C">
        <w:rPr>
          <w:sz w:val="24"/>
          <w:szCs w:val="24"/>
        </w:rPr>
        <w:t xml:space="preserve">nvestment </w:t>
      </w:r>
    </w:p>
    <w:p w:rsidR="00A03766" w:rsidRPr="0003714C" w:rsidRDefault="00F17176" w:rsidP="00C103B2">
      <w:pPr>
        <w:spacing w:line="360" w:lineRule="auto"/>
        <w:jc w:val="both"/>
        <w:rPr>
          <w:sz w:val="24"/>
          <w:szCs w:val="24"/>
        </w:rPr>
      </w:pPr>
      <w:r w:rsidRPr="0003714C">
        <w:rPr>
          <w:sz w:val="24"/>
          <w:szCs w:val="24"/>
        </w:rPr>
        <w:t>Ag</w:t>
      </w:r>
      <w:r w:rsidR="003C58F8" w:rsidRPr="0003714C">
        <w:rPr>
          <w:sz w:val="24"/>
          <w:szCs w:val="24"/>
        </w:rPr>
        <w:t>ainst this backdrop, we have three</w:t>
      </w:r>
      <w:r w:rsidRPr="0003714C">
        <w:rPr>
          <w:sz w:val="24"/>
          <w:szCs w:val="24"/>
        </w:rPr>
        <w:t xml:space="preserve"> main challenges</w:t>
      </w:r>
      <w:r w:rsidR="00A03766" w:rsidRPr="0003714C">
        <w:rPr>
          <w:sz w:val="24"/>
          <w:szCs w:val="24"/>
        </w:rPr>
        <w:t>:</w:t>
      </w:r>
    </w:p>
    <w:p w:rsidR="00F17176" w:rsidRPr="0003714C" w:rsidRDefault="00BD7812" w:rsidP="00C103B2">
      <w:pPr>
        <w:spacing w:line="360" w:lineRule="auto"/>
        <w:jc w:val="both"/>
        <w:rPr>
          <w:sz w:val="24"/>
          <w:szCs w:val="24"/>
        </w:rPr>
      </w:pPr>
      <w:r w:rsidRPr="0003714C">
        <w:rPr>
          <w:sz w:val="24"/>
          <w:szCs w:val="24"/>
        </w:rPr>
        <w:t xml:space="preserve">Firstly, the more complex and changing world </w:t>
      </w:r>
      <w:r w:rsidR="00EC1084" w:rsidRPr="0003714C">
        <w:rPr>
          <w:sz w:val="24"/>
          <w:szCs w:val="24"/>
        </w:rPr>
        <w:t xml:space="preserve">for </w:t>
      </w:r>
      <w:r w:rsidRPr="0003714C">
        <w:rPr>
          <w:sz w:val="24"/>
          <w:szCs w:val="24"/>
        </w:rPr>
        <w:t xml:space="preserve">which we are educating </w:t>
      </w:r>
      <w:r w:rsidR="00AC3155" w:rsidRPr="0003714C">
        <w:rPr>
          <w:sz w:val="24"/>
          <w:szCs w:val="24"/>
        </w:rPr>
        <w:t>students,</w:t>
      </w:r>
      <w:r w:rsidRPr="0003714C">
        <w:rPr>
          <w:sz w:val="24"/>
          <w:szCs w:val="24"/>
        </w:rPr>
        <w:t xml:space="preserve"> </w:t>
      </w:r>
      <w:r w:rsidR="00EC1084" w:rsidRPr="0003714C">
        <w:rPr>
          <w:sz w:val="24"/>
          <w:szCs w:val="24"/>
        </w:rPr>
        <w:t xml:space="preserve">requires </w:t>
      </w:r>
      <w:r w:rsidRPr="0003714C">
        <w:rPr>
          <w:sz w:val="24"/>
          <w:szCs w:val="24"/>
        </w:rPr>
        <w:t xml:space="preserve">more sophisticated educational approaches. </w:t>
      </w:r>
      <w:r w:rsidR="00A03766" w:rsidRPr="0003714C">
        <w:rPr>
          <w:sz w:val="24"/>
          <w:szCs w:val="24"/>
        </w:rPr>
        <w:t>T</w:t>
      </w:r>
      <w:r w:rsidR="00F17176" w:rsidRPr="0003714C">
        <w:rPr>
          <w:sz w:val="24"/>
          <w:szCs w:val="24"/>
        </w:rPr>
        <w:t>he group captures this well</w:t>
      </w:r>
      <w:r w:rsidR="003C58F8" w:rsidRPr="0003714C">
        <w:rPr>
          <w:sz w:val="24"/>
          <w:szCs w:val="24"/>
        </w:rPr>
        <w:t xml:space="preserve"> </w:t>
      </w:r>
      <w:r w:rsidR="005E14DD" w:rsidRPr="0003714C">
        <w:rPr>
          <w:sz w:val="24"/>
          <w:szCs w:val="24"/>
        </w:rPr>
        <w:t xml:space="preserve">in </w:t>
      </w:r>
      <w:r w:rsidR="003C58F8" w:rsidRPr="0003714C">
        <w:rPr>
          <w:sz w:val="24"/>
          <w:szCs w:val="24"/>
        </w:rPr>
        <w:t>identify</w:t>
      </w:r>
      <w:r w:rsidR="005E14DD" w:rsidRPr="0003714C">
        <w:rPr>
          <w:sz w:val="24"/>
          <w:szCs w:val="24"/>
        </w:rPr>
        <w:t>ing</w:t>
      </w:r>
      <w:r w:rsidR="00A03766" w:rsidRPr="0003714C">
        <w:rPr>
          <w:sz w:val="24"/>
          <w:szCs w:val="24"/>
        </w:rPr>
        <w:t xml:space="preserve"> the need to invest in</w:t>
      </w:r>
      <w:r w:rsidR="003C58F8" w:rsidRPr="0003714C">
        <w:rPr>
          <w:sz w:val="24"/>
          <w:szCs w:val="24"/>
        </w:rPr>
        <w:t xml:space="preserve"> improved student staff ratios, smaller tutorial groups, more one</w:t>
      </w:r>
      <w:r w:rsidR="00AC3155" w:rsidRPr="0003714C">
        <w:rPr>
          <w:sz w:val="24"/>
          <w:szCs w:val="24"/>
        </w:rPr>
        <w:t>-</w:t>
      </w:r>
      <w:r w:rsidR="003C58F8" w:rsidRPr="0003714C">
        <w:rPr>
          <w:sz w:val="24"/>
          <w:szCs w:val="24"/>
        </w:rPr>
        <w:t>to</w:t>
      </w:r>
      <w:r w:rsidR="00AC3155" w:rsidRPr="0003714C">
        <w:rPr>
          <w:sz w:val="24"/>
          <w:szCs w:val="24"/>
        </w:rPr>
        <w:t>-</w:t>
      </w:r>
      <w:r w:rsidR="003C58F8" w:rsidRPr="0003714C">
        <w:rPr>
          <w:sz w:val="24"/>
          <w:szCs w:val="24"/>
        </w:rPr>
        <w:t xml:space="preserve">one contact with students, more project work, enhanced feedback and more time to </w:t>
      </w:r>
      <w:r w:rsidR="00AC3155" w:rsidRPr="0003714C">
        <w:rPr>
          <w:sz w:val="24"/>
          <w:szCs w:val="24"/>
        </w:rPr>
        <w:t>engage in</w:t>
      </w:r>
      <w:r w:rsidR="003C58F8" w:rsidRPr="0003714C">
        <w:rPr>
          <w:sz w:val="24"/>
          <w:szCs w:val="24"/>
        </w:rPr>
        <w:t xml:space="preserve"> diverse </w:t>
      </w:r>
      <w:r w:rsidR="003C58F8" w:rsidRPr="0003714C">
        <w:rPr>
          <w:sz w:val="24"/>
          <w:szCs w:val="24"/>
        </w:rPr>
        <w:lastRenderedPageBreak/>
        <w:t xml:space="preserve">learning styles and </w:t>
      </w:r>
      <w:r w:rsidR="00EC1084" w:rsidRPr="0003714C">
        <w:rPr>
          <w:sz w:val="24"/>
          <w:szCs w:val="24"/>
        </w:rPr>
        <w:t xml:space="preserve">to </w:t>
      </w:r>
      <w:r w:rsidR="003C58F8" w:rsidRPr="0003714C">
        <w:rPr>
          <w:sz w:val="24"/>
          <w:szCs w:val="24"/>
        </w:rPr>
        <w:t>support at</w:t>
      </w:r>
      <w:r w:rsidR="005E3E1D" w:rsidRPr="0003714C">
        <w:rPr>
          <w:sz w:val="24"/>
          <w:szCs w:val="24"/>
        </w:rPr>
        <w:t>-</w:t>
      </w:r>
      <w:r w:rsidR="003C58F8" w:rsidRPr="0003714C">
        <w:rPr>
          <w:sz w:val="24"/>
          <w:szCs w:val="24"/>
        </w:rPr>
        <w:t>risk students. The group also highlights the need for investment in support services such as library and information services, st</w:t>
      </w:r>
      <w:r w:rsidR="006576E4" w:rsidRPr="0003714C">
        <w:rPr>
          <w:sz w:val="24"/>
          <w:szCs w:val="24"/>
        </w:rPr>
        <w:t>udent guidance and counselling – and the necessary capital funding to support all of this.</w:t>
      </w:r>
    </w:p>
    <w:p w:rsidR="00B51EB8" w:rsidRPr="0003714C" w:rsidRDefault="00B51EB8" w:rsidP="00C103B2">
      <w:pPr>
        <w:spacing w:line="360" w:lineRule="auto"/>
        <w:jc w:val="both"/>
        <w:rPr>
          <w:sz w:val="24"/>
          <w:szCs w:val="24"/>
        </w:rPr>
      </w:pPr>
      <w:r w:rsidRPr="0003714C">
        <w:rPr>
          <w:sz w:val="24"/>
          <w:szCs w:val="24"/>
        </w:rPr>
        <w:t xml:space="preserve">We strongly endorse this view of a quality education which enhances student outcomes and life chances. </w:t>
      </w:r>
    </w:p>
    <w:p w:rsidR="006576E4" w:rsidRPr="0003714C" w:rsidRDefault="003C58F8" w:rsidP="00C103B2">
      <w:pPr>
        <w:spacing w:line="360" w:lineRule="auto"/>
        <w:jc w:val="both"/>
        <w:rPr>
          <w:sz w:val="24"/>
          <w:szCs w:val="24"/>
        </w:rPr>
      </w:pPr>
      <w:r w:rsidRPr="0003714C">
        <w:rPr>
          <w:sz w:val="24"/>
          <w:szCs w:val="24"/>
        </w:rPr>
        <w:t>The second challenge relates to demographics</w:t>
      </w:r>
      <w:r w:rsidR="00B51EB8" w:rsidRPr="0003714C">
        <w:rPr>
          <w:sz w:val="24"/>
          <w:szCs w:val="24"/>
        </w:rPr>
        <w:t xml:space="preserve"> and access</w:t>
      </w:r>
      <w:r w:rsidRPr="0003714C">
        <w:rPr>
          <w:sz w:val="24"/>
          <w:szCs w:val="24"/>
        </w:rPr>
        <w:t xml:space="preserve">. </w:t>
      </w:r>
      <w:proofErr w:type="gramStart"/>
      <w:r w:rsidR="00CC0386" w:rsidRPr="0003714C">
        <w:rPr>
          <w:sz w:val="24"/>
          <w:szCs w:val="24"/>
        </w:rPr>
        <w:t xml:space="preserve">Since </w:t>
      </w:r>
      <w:r w:rsidR="006576E4" w:rsidRPr="0003714C">
        <w:rPr>
          <w:sz w:val="24"/>
          <w:szCs w:val="24"/>
        </w:rPr>
        <w:t>the 196</w:t>
      </w:r>
      <w:r w:rsidR="00B51EB8" w:rsidRPr="0003714C">
        <w:rPr>
          <w:sz w:val="24"/>
          <w:szCs w:val="24"/>
        </w:rPr>
        <w:t>0’s, Ireland has made significant progress in the democratisation and widening of our education system.</w:t>
      </w:r>
      <w:proofErr w:type="gramEnd"/>
      <w:r w:rsidR="00B51EB8" w:rsidRPr="0003714C">
        <w:rPr>
          <w:sz w:val="24"/>
          <w:szCs w:val="24"/>
        </w:rPr>
        <w:t xml:space="preserve"> This is reflected in the growth in participation levels, </w:t>
      </w:r>
      <w:r w:rsidR="006576E4" w:rsidRPr="0003714C">
        <w:rPr>
          <w:sz w:val="24"/>
          <w:szCs w:val="24"/>
        </w:rPr>
        <w:t xml:space="preserve">expanded </w:t>
      </w:r>
      <w:r w:rsidR="00B51EB8" w:rsidRPr="0003714C">
        <w:rPr>
          <w:sz w:val="24"/>
          <w:szCs w:val="24"/>
        </w:rPr>
        <w:t>post graduate education</w:t>
      </w:r>
      <w:r w:rsidR="00EC1084" w:rsidRPr="0003714C">
        <w:rPr>
          <w:sz w:val="24"/>
          <w:szCs w:val="24"/>
        </w:rPr>
        <w:t xml:space="preserve"> and continuing</w:t>
      </w:r>
      <w:r w:rsidR="00B51EB8" w:rsidRPr="0003714C">
        <w:rPr>
          <w:sz w:val="24"/>
          <w:szCs w:val="24"/>
        </w:rPr>
        <w:t xml:space="preserve"> professional development, and the internationalisation of our student and staff population</w:t>
      </w:r>
      <w:r w:rsidR="00EC1084" w:rsidRPr="0003714C">
        <w:rPr>
          <w:sz w:val="24"/>
          <w:szCs w:val="24"/>
        </w:rPr>
        <w:t>s</w:t>
      </w:r>
      <w:r w:rsidR="00B51EB8" w:rsidRPr="0003714C">
        <w:rPr>
          <w:sz w:val="24"/>
          <w:szCs w:val="24"/>
        </w:rPr>
        <w:t xml:space="preserve">. </w:t>
      </w:r>
      <w:r w:rsidR="00A03766" w:rsidRPr="0003714C">
        <w:rPr>
          <w:sz w:val="24"/>
          <w:szCs w:val="24"/>
        </w:rPr>
        <w:t xml:space="preserve">We detail these in our submission. Catering for an almost thirty percent increase </w:t>
      </w:r>
      <w:r w:rsidR="00EC1084" w:rsidRPr="0003714C">
        <w:rPr>
          <w:sz w:val="24"/>
          <w:szCs w:val="24"/>
        </w:rPr>
        <w:t xml:space="preserve">in </w:t>
      </w:r>
      <w:r w:rsidR="006576E4" w:rsidRPr="0003714C">
        <w:rPr>
          <w:sz w:val="24"/>
          <w:szCs w:val="24"/>
        </w:rPr>
        <w:t xml:space="preserve">new entrants </w:t>
      </w:r>
      <w:r w:rsidR="00A03766" w:rsidRPr="0003714C">
        <w:rPr>
          <w:sz w:val="24"/>
          <w:szCs w:val="24"/>
        </w:rPr>
        <w:t xml:space="preserve">by 2030 and making further inroads into tackling disadvantage in its various forms requires </w:t>
      </w:r>
      <w:r w:rsidR="006576E4" w:rsidRPr="0003714C">
        <w:rPr>
          <w:sz w:val="24"/>
          <w:szCs w:val="24"/>
        </w:rPr>
        <w:t xml:space="preserve">significant </w:t>
      </w:r>
      <w:r w:rsidR="00A03766" w:rsidRPr="0003714C">
        <w:rPr>
          <w:sz w:val="24"/>
          <w:szCs w:val="24"/>
        </w:rPr>
        <w:t xml:space="preserve">investment. </w:t>
      </w:r>
    </w:p>
    <w:p w:rsidR="00A03766" w:rsidRPr="0003714C" w:rsidRDefault="00A03766" w:rsidP="00C103B2">
      <w:pPr>
        <w:spacing w:line="360" w:lineRule="auto"/>
        <w:jc w:val="both"/>
        <w:rPr>
          <w:sz w:val="24"/>
          <w:szCs w:val="24"/>
        </w:rPr>
      </w:pPr>
      <w:r w:rsidRPr="0003714C">
        <w:rPr>
          <w:sz w:val="24"/>
          <w:szCs w:val="24"/>
        </w:rPr>
        <w:t>The Cassells group quantifies this.</w:t>
      </w:r>
    </w:p>
    <w:p w:rsidR="005E14DD" w:rsidRPr="0003714C" w:rsidRDefault="000B3812" w:rsidP="00C103B2">
      <w:pPr>
        <w:spacing w:line="360" w:lineRule="auto"/>
        <w:jc w:val="both"/>
        <w:rPr>
          <w:sz w:val="24"/>
          <w:szCs w:val="24"/>
        </w:rPr>
      </w:pPr>
      <w:r w:rsidRPr="0003714C">
        <w:rPr>
          <w:sz w:val="24"/>
          <w:szCs w:val="24"/>
        </w:rPr>
        <w:t xml:space="preserve">To </w:t>
      </w:r>
      <w:r w:rsidR="005E14DD" w:rsidRPr="0003714C">
        <w:rPr>
          <w:sz w:val="24"/>
          <w:szCs w:val="24"/>
        </w:rPr>
        <w:t xml:space="preserve">address demographics and </w:t>
      </w:r>
      <w:r w:rsidRPr="0003714C">
        <w:rPr>
          <w:sz w:val="24"/>
          <w:szCs w:val="24"/>
        </w:rPr>
        <w:t xml:space="preserve">move </w:t>
      </w:r>
      <w:r w:rsidR="005E14DD" w:rsidRPr="0003714C">
        <w:rPr>
          <w:sz w:val="24"/>
          <w:szCs w:val="24"/>
        </w:rPr>
        <w:t xml:space="preserve">to a student </w:t>
      </w:r>
      <w:r w:rsidR="00B27704" w:rsidRPr="0003714C">
        <w:rPr>
          <w:sz w:val="24"/>
          <w:szCs w:val="24"/>
        </w:rPr>
        <w:t xml:space="preserve">to </w:t>
      </w:r>
      <w:r w:rsidR="005E14DD" w:rsidRPr="0003714C">
        <w:rPr>
          <w:sz w:val="24"/>
          <w:szCs w:val="24"/>
        </w:rPr>
        <w:t>staff ratio of 14</w:t>
      </w:r>
      <w:r w:rsidR="0026645A" w:rsidRPr="0003714C">
        <w:rPr>
          <w:sz w:val="24"/>
          <w:szCs w:val="24"/>
        </w:rPr>
        <w:t>:</w:t>
      </w:r>
      <w:r w:rsidR="005E14DD" w:rsidRPr="0003714C">
        <w:rPr>
          <w:sz w:val="24"/>
          <w:szCs w:val="24"/>
        </w:rPr>
        <w:t>1</w:t>
      </w:r>
      <w:r w:rsidR="00EC1084" w:rsidRPr="0003714C">
        <w:rPr>
          <w:sz w:val="24"/>
          <w:szCs w:val="24"/>
        </w:rPr>
        <w:t>,</w:t>
      </w:r>
      <w:r w:rsidR="005E14DD" w:rsidRPr="0003714C">
        <w:rPr>
          <w:sz w:val="24"/>
          <w:szCs w:val="24"/>
        </w:rPr>
        <w:t xml:space="preserve"> the report estimates a need for an additional </w:t>
      </w:r>
      <w:r w:rsidR="00FC4705" w:rsidRPr="0003714C">
        <w:rPr>
          <w:sz w:val="24"/>
          <w:szCs w:val="24"/>
        </w:rPr>
        <w:t xml:space="preserve">six hundred million euro per annum (€600m) by 2021 and </w:t>
      </w:r>
      <w:r w:rsidR="005E14DD" w:rsidRPr="0003714C">
        <w:rPr>
          <w:sz w:val="24"/>
          <w:szCs w:val="24"/>
        </w:rPr>
        <w:t>one billion</w:t>
      </w:r>
      <w:r w:rsidR="00B27704" w:rsidRPr="0003714C">
        <w:rPr>
          <w:sz w:val="24"/>
          <w:szCs w:val="24"/>
        </w:rPr>
        <w:t xml:space="preserve"> euro</w:t>
      </w:r>
      <w:r w:rsidR="00FC4705" w:rsidRPr="0003714C">
        <w:rPr>
          <w:sz w:val="24"/>
          <w:szCs w:val="24"/>
        </w:rPr>
        <w:t xml:space="preserve"> per annum</w:t>
      </w:r>
      <w:r w:rsidR="00B27704" w:rsidRPr="0003714C">
        <w:rPr>
          <w:sz w:val="24"/>
          <w:szCs w:val="24"/>
        </w:rPr>
        <w:t xml:space="preserve"> </w:t>
      </w:r>
      <w:r w:rsidR="005E14DD" w:rsidRPr="0003714C">
        <w:rPr>
          <w:sz w:val="24"/>
          <w:szCs w:val="24"/>
        </w:rPr>
        <w:t xml:space="preserve">by 2030. A further spend of an additional </w:t>
      </w:r>
      <w:r w:rsidR="00B27704" w:rsidRPr="0003714C">
        <w:rPr>
          <w:sz w:val="24"/>
          <w:szCs w:val="24"/>
        </w:rPr>
        <w:t xml:space="preserve">one hundred million euro </w:t>
      </w:r>
      <w:r w:rsidR="00997B94" w:rsidRPr="0003714C">
        <w:rPr>
          <w:sz w:val="24"/>
          <w:szCs w:val="24"/>
        </w:rPr>
        <w:t xml:space="preserve">per annum </w:t>
      </w:r>
      <w:r w:rsidR="00B27704" w:rsidRPr="0003714C">
        <w:rPr>
          <w:sz w:val="24"/>
          <w:szCs w:val="24"/>
        </w:rPr>
        <w:t>(</w:t>
      </w:r>
      <w:r w:rsidR="00093ECA" w:rsidRPr="0003714C">
        <w:rPr>
          <w:sz w:val="24"/>
          <w:szCs w:val="24"/>
        </w:rPr>
        <w:t>€</w:t>
      </w:r>
      <w:r w:rsidR="005E14DD" w:rsidRPr="0003714C">
        <w:rPr>
          <w:sz w:val="24"/>
          <w:szCs w:val="24"/>
        </w:rPr>
        <w:t>100</w:t>
      </w:r>
      <w:r w:rsidR="00B27704" w:rsidRPr="0003714C">
        <w:rPr>
          <w:sz w:val="24"/>
          <w:szCs w:val="24"/>
        </w:rPr>
        <w:t>m</w:t>
      </w:r>
      <w:r w:rsidR="00BD7812" w:rsidRPr="0003714C">
        <w:rPr>
          <w:sz w:val="24"/>
          <w:szCs w:val="24"/>
        </w:rPr>
        <w:t xml:space="preserve">) </w:t>
      </w:r>
      <w:r w:rsidR="005E14DD" w:rsidRPr="0003714C">
        <w:rPr>
          <w:sz w:val="24"/>
          <w:szCs w:val="24"/>
        </w:rPr>
        <w:t xml:space="preserve">is recommended for access measures. </w:t>
      </w:r>
    </w:p>
    <w:p w:rsidR="00B51EB8" w:rsidRPr="0003714C" w:rsidRDefault="00B51EB8" w:rsidP="00C103B2">
      <w:pPr>
        <w:spacing w:line="360" w:lineRule="auto"/>
        <w:jc w:val="both"/>
        <w:rPr>
          <w:sz w:val="24"/>
          <w:szCs w:val="24"/>
        </w:rPr>
      </w:pPr>
      <w:r w:rsidRPr="0003714C">
        <w:rPr>
          <w:sz w:val="24"/>
          <w:szCs w:val="24"/>
        </w:rPr>
        <w:t xml:space="preserve">Lastly we have a capital investment challenge, scaled at </w:t>
      </w:r>
      <w:r w:rsidR="00B27704" w:rsidRPr="0003714C">
        <w:rPr>
          <w:sz w:val="24"/>
          <w:szCs w:val="24"/>
        </w:rPr>
        <w:t xml:space="preserve">five and a half </w:t>
      </w:r>
      <w:r w:rsidR="00093ECA" w:rsidRPr="0003714C">
        <w:rPr>
          <w:sz w:val="24"/>
          <w:szCs w:val="24"/>
        </w:rPr>
        <w:t>billion e</w:t>
      </w:r>
      <w:r w:rsidR="005E14DD" w:rsidRPr="0003714C">
        <w:rPr>
          <w:sz w:val="24"/>
          <w:szCs w:val="24"/>
        </w:rPr>
        <w:t xml:space="preserve">uro </w:t>
      </w:r>
      <w:r w:rsidR="00B27704" w:rsidRPr="0003714C">
        <w:rPr>
          <w:sz w:val="24"/>
          <w:szCs w:val="24"/>
        </w:rPr>
        <w:t>(</w:t>
      </w:r>
      <w:r w:rsidR="00093ECA" w:rsidRPr="0003714C">
        <w:rPr>
          <w:sz w:val="24"/>
          <w:szCs w:val="24"/>
        </w:rPr>
        <w:t>€</w:t>
      </w:r>
      <w:r w:rsidR="005E14DD" w:rsidRPr="0003714C">
        <w:rPr>
          <w:sz w:val="24"/>
          <w:szCs w:val="24"/>
        </w:rPr>
        <w:t>5.5</w:t>
      </w:r>
      <w:r w:rsidR="00997B94" w:rsidRPr="0003714C">
        <w:rPr>
          <w:sz w:val="24"/>
          <w:szCs w:val="24"/>
        </w:rPr>
        <w:t>bn</w:t>
      </w:r>
      <w:r w:rsidR="00B27704" w:rsidRPr="0003714C">
        <w:rPr>
          <w:sz w:val="24"/>
          <w:szCs w:val="24"/>
        </w:rPr>
        <w:t>)</w:t>
      </w:r>
      <w:r w:rsidR="005E14DD" w:rsidRPr="0003714C">
        <w:rPr>
          <w:sz w:val="24"/>
          <w:szCs w:val="24"/>
        </w:rPr>
        <w:t xml:space="preserve"> over fifteen years.</w:t>
      </w:r>
    </w:p>
    <w:p w:rsidR="00B51EB8" w:rsidRPr="0003714C" w:rsidRDefault="005C6CA3" w:rsidP="00C103B2">
      <w:pPr>
        <w:pStyle w:val="Heading3"/>
        <w:spacing w:line="360" w:lineRule="auto"/>
        <w:rPr>
          <w:sz w:val="24"/>
          <w:szCs w:val="24"/>
        </w:rPr>
      </w:pPr>
      <w:r w:rsidRPr="0003714C">
        <w:rPr>
          <w:sz w:val="24"/>
          <w:szCs w:val="24"/>
        </w:rPr>
        <w:t xml:space="preserve">4. </w:t>
      </w:r>
      <w:r w:rsidR="00B51EB8" w:rsidRPr="0003714C">
        <w:rPr>
          <w:sz w:val="24"/>
          <w:szCs w:val="24"/>
        </w:rPr>
        <w:t>The Solutions</w:t>
      </w:r>
    </w:p>
    <w:p w:rsidR="00A03766" w:rsidRPr="0003714C" w:rsidRDefault="00CC0386" w:rsidP="00C103B2">
      <w:pPr>
        <w:spacing w:line="360" w:lineRule="auto"/>
        <w:jc w:val="both"/>
        <w:rPr>
          <w:sz w:val="24"/>
          <w:szCs w:val="24"/>
        </w:rPr>
      </w:pPr>
      <w:r w:rsidRPr="0003714C">
        <w:rPr>
          <w:sz w:val="24"/>
          <w:szCs w:val="24"/>
        </w:rPr>
        <w:t>In terms of solutions</w:t>
      </w:r>
      <w:r w:rsidR="006576E4" w:rsidRPr="0003714C">
        <w:rPr>
          <w:sz w:val="24"/>
          <w:szCs w:val="24"/>
        </w:rPr>
        <w:t>,</w:t>
      </w:r>
      <w:r w:rsidRPr="0003714C">
        <w:rPr>
          <w:sz w:val="24"/>
          <w:szCs w:val="24"/>
        </w:rPr>
        <w:t xml:space="preserve"> t</w:t>
      </w:r>
      <w:r w:rsidR="00A10048" w:rsidRPr="0003714C">
        <w:rPr>
          <w:sz w:val="24"/>
          <w:szCs w:val="24"/>
        </w:rPr>
        <w:t>he Cassells group</w:t>
      </w:r>
      <w:r w:rsidR="006576E4" w:rsidRPr="0003714C">
        <w:rPr>
          <w:sz w:val="24"/>
          <w:szCs w:val="24"/>
        </w:rPr>
        <w:t xml:space="preserve"> identifies three </w:t>
      </w:r>
      <w:r w:rsidR="00A10048" w:rsidRPr="0003714C">
        <w:rPr>
          <w:sz w:val="24"/>
          <w:szCs w:val="24"/>
        </w:rPr>
        <w:t xml:space="preserve">main contributors </w:t>
      </w:r>
      <w:r w:rsidRPr="0003714C">
        <w:rPr>
          <w:sz w:val="24"/>
          <w:szCs w:val="24"/>
        </w:rPr>
        <w:t>to higher education</w:t>
      </w:r>
      <w:r w:rsidR="00A10048" w:rsidRPr="0003714C">
        <w:rPr>
          <w:sz w:val="24"/>
          <w:szCs w:val="24"/>
        </w:rPr>
        <w:t xml:space="preserve">: </w:t>
      </w:r>
      <w:r w:rsidR="006576E4" w:rsidRPr="0003714C">
        <w:rPr>
          <w:sz w:val="24"/>
          <w:szCs w:val="24"/>
        </w:rPr>
        <w:t xml:space="preserve">one, </w:t>
      </w:r>
      <w:r w:rsidR="00A10048" w:rsidRPr="0003714C">
        <w:rPr>
          <w:sz w:val="24"/>
          <w:szCs w:val="24"/>
        </w:rPr>
        <w:t xml:space="preserve">the state, </w:t>
      </w:r>
      <w:r w:rsidR="006576E4" w:rsidRPr="0003714C">
        <w:rPr>
          <w:sz w:val="24"/>
          <w:szCs w:val="24"/>
        </w:rPr>
        <w:t xml:space="preserve">two, </w:t>
      </w:r>
      <w:r w:rsidR="00A10048" w:rsidRPr="0003714C">
        <w:rPr>
          <w:sz w:val="24"/>
          <w:szCs w:val="24"/>
        </w:rPr>
        <w:t>students, and</w:t>
      </w:r>
      <w:r w:rsidR="006576E4" w:rsidRPr="0003714C">
        <w:rPr>
          <w:sz w:val="24"/>
          <w:szCs w:val="24"/>
        </w:rPr>
        <w:t xml:space="preserve"> three,</w:t>
      </w:r>
      <w:r w:rsidR="00A10048" w:rsidRPr="0003714C">
        <w:rPr>
          <w:sz w:val="24"/>
          <w:szCs w:val="24"/>
        </w:rPr>
        <w:t xml:space="preserve"> employers</w:t>
      </w:r>
      <w:r w:rsidR="006576E4" w:rsidRPr="0003714C">
        <w:rPr>
          <w:sz w:val="24"/>
          <w:szCs w:val="24"/>
        </w:rPr>
        <w:t>. This is</w:t>
      </w:r>
      <w:r w:rsidR="00A10048" w:rsidRPr="0003714C">
        <w:rPr>
          <w:sz w:val="24"/>
          <w:szCs w:val="24"/>
        </w:rPr>
        <w:t xml:space="preserve"> based on </w:t>
      </w:r>
      <w:r w:rsidR="00A03766" w:rsidRPr="0003714C">
        <w:rPr>
          <w:sz w:val="24"/>
          <w:szCs w:val="24"/>
        </w:rPr>
        <w:t>the</w:t>
      </w:r>
      <w:r w:rsidR="00A10048" w:rsidRPr="0003714C">
        <w:rPr>
          <w:sz w:val="24"/>
          <w:szCs w:val="24"/>
        </w:rPr>
        <w:t xml:space="preserve"> view that all three </w:t>
      </w:r>
      <w:r w:rsidR="00A03766" w:rsidRPr="0003714C">
        <w:rPr>
          <w:sz w:val="24"/>
          <w:szCs w:val="24"/>
        </w:rPr>
        <w:t xml:space="preserve">groups </w:t>
      </w:r>
      <w:r w:rsidR="006576E4" w:rsidRPr="0003714C">
        <w:rPr>
          <w:sz w:val="24"/>
          <w:szCs w:val="24"/>
        </w:rPr>
        <w:t xml:space="preserve">derive </w:t>
      </w:r>
      <w:r w:rsidR="00A10048" w:rsidRPr="0003714C">
        <w:rPr>
          <w:sz w:val="24"/>
          <w:szCs w:val="24"/>
        </w:rPr>
        <w:t>benefit from higher education.</w:t>
      </w:r>
    </w:p>
    <w:p w:rsidR="006B0F56" w:rsidRPr="0003714C" w:rsidRDefault="00A10048" w:rsidP="00C103B2">
      <w:pPr>
        <w:pStyle w:val="ListParagraph"/>
        <w:numPr>
          <w:ilvl w:val="0"/>
          <w:numId w:val="4"/>
        </w:numPr>
        <w:spacing w:line="360" w:lineRule="auto"/>
        <w:jc w:val="both"/>
        <w:rPr>
          <w:sz w:val="24"/>
          <w:szCs w:val="24"/>
        </w:rPr>
      </w:pPr>
      <w:r w:rsidRPr="0003714C">
        <w:rPr>
          <w:sz w:val="24"/>
          <w:szCs w:val="24"/>
        </w:rPr>
        <w:t>The state benefits because there are wide ranging returns to society from a well-educated population.</w:t>
      </w:r>
    </w:p>
    <w:p w:rsidR="00A03766" w:rsidRPr="0003714C" w:rsidRDefault="00A10048" w:rsidP="00C103B2">
      <w:pPr>
        <w:pStyle w:val="ListParagraph"/>
        <w:spacing w:line="360" w:lineRule="auto"/>
        <w:jc w:val="both"/>
        <w:rPr>
          <w:sz w:val="24"/>
          <w:szCs w:val="24"/>
        </w:rPr>
      </w:pPr>
      <w:r w:rsidRPr="0003714C">
        <w:rPr>
          <w:sz w:val="24"/>
          <w:szCs w:val="24"/>
        </w:rPr>
        <w:t xml:space="preserve"> </w:t>
      </w:r>
    </w:p>
    <w:p w:rsidR="006B0F56" w:rsidRPr="0003714C" w:rsidRDefault="00A10048" w:rsidP="00C103B2">
      <w:pPr>
        <w:pStyle w:val="ListParagraph"/>
        <w:numPr>
          <w:ilvl w:val="0"/>
          <w:numId w:val="4"/>
        </w:numPr>
        <w:spacing w:line="360" w:lineRule="auto"/>
        <w:jc w:val="both"/>
        <w:rPr>
          <w:sz w:val="24"/>
          <w:szCs w:val="24"/>
        </w:rPr>
      </w:pPr>
      <w:r w:rsidRPr="0003714C">
        <w:rPr>
          <w:sz w:val="24"/>
          <w:szCs w:val="24"/>
        </w:rPr>
        <w:lastRenderedPageBreak/>
        <w:t>Students benefit because, in the aggregate, substantial earnings premiums accrue to those with higher levels of edu</w:t>
      </w:r>
      <w:r w:rsidR="005E3E1D" w:rsidRPr="0003714C">
        <w:rPr>
          <w:sz w:val="24"/>
          <w:szCs w:val="24"/>
        </w:rPr>
        <w:t>cation.</w:t>
      </w:r>
    </w:p>
    <w:p w:rsidR="00A03766" w:rsidRPr="0003714C" w:rsidRDefault="005E3E1D" w:rsidP="00C103B2">
      <w:pPr>
        <w:pStyle w:val="ListParagraph"/>
        <w:spacing w:line="360" w:lineRule="auto"/>
        <w:jc w:val="both"/>
        <w:rPr>
          <w:sz w:val="24"/>
          <w:szCs w:val="24"/>
        </w:rPr>
      </w:pPr>
      <w:r w:rsidRPr="0003714C">
        <w:rPr>
          <w:sz w:val="24"/>
          <w:szCs w:val="24"/>
        </w:rPr>
        <w:t xml:space="preserve"> </w:t>
      </w:r>
    </w:p>
    <w:p w:rsidR="00A10048" w:rsidRPr="0003714C" w:rsidRDefault="00A10048" w:rsidP="00C103B2">
      <w:pPr>
        <w:pStyle w:val="ListParagraph"/>
        <w:numPr>
          <w:ilvl w:val="0"/>
          <w:numId w:val="4"/>
        </w:numPr>
        <w:spacing w:line="360" w:lineRule="auto"/>
        <w:jc w:val="both"/>
        <w:rPr>
          <w:sz w:val="24"/>
          <w:szCs w:val="24"/>
        </w:rPr>
      </w:pPr>
      <w:r w:rsidRPr="0003714C">
        <w:rPr>
          <w:sz w:val="24"/>
          <w:szCs w:val="24"/>
        </w:rPr>
        <w:t xml:space="preserve">Finally, employers benefit since advanced human capital is a key driver of innovation and productivity. </w:t>
      </w:r>
    </w:p>
    <w:p w:rsidR="00061D05" w:rsidRPr="0003714C" w:rsidRDefault="00A10048" w:rsidP="00C103B2">
      <w:pPr>
        <w:spacing w:line="360" w:lineRule="auto"/>
        <w:jc w:val="both"/>
        <w:rPr>
          <w:sz w:val="24"/>
          <w:szCs w:val="24"/>
        </w:rPr>
      </w:pPr>
      <w:r w:rsidRPr="0003714C">
        <w:rPr>
          <w:sz w:val="24"/>
          <w:szCs w:val="24"/>
        </w:rPr>
        <w:t xml:space="preserve">In putting forward its funding options, the report concludes that </w:t>
      </w:r>
      <w:r w:rsidR="00A03766" w:rsidRPr="0003714C">
        <w:rPr>
          <w:sz w:val="24"/>
          <w:szCs w:val="24"/>
        </w:rPr>
        <w:t xml:space="preserve">each of </w:t>
      </w:r>
      <w:r w:rsidR="00F213AA" w:rsidRPr="0003714C">
        <w:rPr>
          <w:sz w:val="24"/>
          <w:szCs w:val="24"/>
        </w:rPr>
        <w:t>the beneficiaries should also contribute.</w:t>
      </w:r>
      <w:r w:rsidR="00AC3155" w:rsidRPr="0003714C">
        <w:rPr>
          <w:sz w:val="24"/>
          <w:szCs w:val="24"/>
        </w:rPr>
        <w:t xml:space="preserve"> </w:t>
      </w:r>
      <w:r w:rsidR="00061D05" w:rsidRPr="0003714C">
        <w:rPr>
          <w:sz w:val="24"/>
          <w:szCs w:val="24"/>
        </w:rPr>
        <w:t xml:space="preserve">We agree with this conclusion and see a mixed funding system involving the exchequer, students and employers as the best way to deliver a high quality, sustainable higher education system. </w:t>
      </w:r>
    </w:p>
    <w:p w:rsidR="00061D05" w:rsidRPr="0003714C" w:rsidRDefault="00061D05" w:rsidP="00C103B2">
      <w:pPr>
        <w:spacing w:line="360" w:lineRule="auto"/>
        <w:jc w:val="both"/>
        <w:rPr>
          <w:sz w:val="24"/>
          <w:szCs w:val="24"/>
        </w:rPr>
      </w:pPr>
      <w:r w:rsidRPr="0003714C">
        <w:rPr>
          <w:sz w:val="24"/>
          <w:szCs w:val="24"/>
        </w:rPr>
        <w:t xml:space="preserve">In looking at the options put forward by the group, it is worth saying that we </w:t>
      </w:r>
      <w:r w:rsidR="00B27704" w:rsidRPr="0003714C">
        <w:rPr>
          <w:sz w:val="24"/>
          <w:szCs w:val="24"/>
        </w:rPr>
        <w:t>already</w:t>
      </w:r>
      <w:r w:rsidR="00093ECA" w:rsidRPr="0003714C">
        <w:rPr>
          <w:sz w:val="24"/>
          <w:szCs w:val="24"/>
        </w:rPr>
        <w:t xml:space="preserve"> </w:t>
      </w:r>
      <w:r w:rsidRPr="0003714C">
        <w:rPr>
          <w:sz w:val="24"/>
          <w:szCs w:val="24"/>
        </w:rPr>
        <w:t xml:space="preserve">have a mixed funding system in place. The state currently pays through the combined core grant and grant in lieu of fees mechanism, and students pay via the student contribution. </w:t>
      </w:r>
      <w:r w:rsidR="00F213AA" w:rsidRPr="0003714C">
        <w:rPr>
          <w:sz w:val="24"/>
          <w:szCs w:val="24"/>
        </w:rPr>
        <w:t>E</w:t>
      </w:r>
      <w:r w:rsidRPr="0003714C">
        <w:rPr>
          <w:sz w:val="24"/>
          <w:szCs w:val="24"/>
        </w:rPr>
        <w:t xml:space="preserve">mployers pay </w:t>
      </w:r>
      <w:r w:rsidR="00E85FD7" w:rsidRPr="0003714C">
        <w:rPr>
          <w:sz w:val="24"/>
          <w:szCs w:val="24"/>
        </w:rPr>
        <w:t xml:space="preserve">via </w:t>
      </w:r>
      <w:r w:rsidRPr="0003714C">
        <w:rPr>
          <w:sz w:val="24"/>
          <w:szCs w:val="24"/>
        </w:rPr>
        <w:t xml:space="preserve">the National Training Fund levy, albeit that only a tiny proportion of this finds its way into higher education. </w:t>
      </w:r>
    </w:p>
    <w:p w:rsidR="00061D05" w:rsidRPr="0003714C" w:rsidRDefault="00061D05" w:rsidP="00C103B2">
      <w:pPr>
        <w:spacing w:line="360" w:lineRule="auto"/>
        <w:jc w:val="both"/>
        <w:rPr>
          <w:sz w:val="24"/>
          <w:szCs w:val="24"/>
        </w:rPr>
      </w:pPr>
      <w:r w:rsidRPr="0003714C">
        <w:rPr>
          <w:sz w:val="24"/>
          <w:szCs w:val="24"/>
        </w:rPr>
        <w:t xml:space="preserve">The difficulty </w:t>
      </w:r>
      <w:r w:rsidR="00F213AA" w:rsidRPr="0003714C">
        <w:rPr>
          <w:sz w:val="24"/>
          <w:szCs w:val="24"/>
        </w:rPr>
        <w:t>Ireland faces</w:t>
      </w:r>
      <w:r w:rsidR="00AC3155" w:rsidRPr="0003714C">
        <w:rPr>
          <w:sz w:val="24"/>
          <w:szCs w:val="24"/>
        </w:rPr>
        <w:t xml:space="preserve"> </w:t>
      </w:r>
      <w:r w:rsidRPr="0003714C">
        <w:rPr>
          <w:sz w:val="24"/>
          <w:szCs w:val="24"/>
        </w:rPr>
        <w:t xml:space="preserve">is that </w:t>
      </w:r>
      <w:r w:rsidR="00E131F1" w:rsidRPr="0003714C">
        <w:rPr>
          <w:sz w:val="24"/>
          <w:szCs w:val="24"/>
        </w:rPr>
        <w:t xml:space="preserve">the quantum of funding delivered through these mechanisms is not proving sufficient to deliver a system that meets the quality standards which students deserve and </w:t>
      </w:r>
      <w:r w:rsidR="006B0F56" w:rsidRPr="0003714C">
        <w:rPr>
          <w:sz w:val="24"/>
          <w:szCs w:val="24"/>
        </w:rPr>
        <w:t xml:space="preserve">which </w:t>
      </w:r>
      <w:r w:rsidR="00E131F1" w:rsidRPr="0003714C">
        <w:rPr>
          <w:sz w:val="24"/>
          <w:szCs w:val="24"/>
        </w:rPr>
        <w:t>society needs for its long</w:t>
      </w:r>
      <w:r w:rsidR="006F014B" w:rsidRPr="0003714C">
        <w:rPr>
          <w:sz w:val="24"/>
          <w:szCs w:val="24"/>
        </w:rPr>
        <w:t>-</w:t>
      </w:r>
      <w:r w:rsidR="00E131F1" w:rsidRPr="0003714C">
        <w:rPr>
          <w:sz w:val="24"/>
          <w:szCs w:val="24"/>
        </w:rPr>
        <w:t>run wellbeing and competitiveness.</w:t>
      </w:r>
      <w:r w:rsidRPr="0003714C">
        <w:rPr>
          <w:sz w:val="24"/>
          <w:szCs w:val="24"/>
        </w:rPr>
        <w:t xml:space="preserve"> </w:t>
      </w:r>
      <w:r w:rsidR="00B27704" w:rsidRPr="0003714C">
        <w:rPr>
          <w:sz w:val="24"/>
          <w:szCs w:val="24"/>
        </w:rPr>
        <w:t>This</w:t>
      </w:r>
      <w:r w:rsidR="006B0F56" w:rsidRPr="0003714C">
        <w:rPr>
          <w:sz w:val="24"/>
          <w:szCs w:val="24"/>
        </w:rPr>
        <w:t>, in essence,</w:t>
      </w:r>
      <w:r w:rsidR="00B27704" w:rsidRPr="0003714C">
        <w:rPr>
          <w:sz w:val="24"/>
          <w:szCs w:val="24"/>
        </w:rPr>
        <w:t xml:space="preserve"> is the conclusion of the Expert Group.</w:t>
      </w:r>
    </w:p>
    <w:p w:rsidR="00F17176" w:rsidRPr="0003714C" w:rsidRDefault="00E131F1" w:rsidP="00C103B2">
      <w:pPr>
        <w:spacing w:line="360" w:lineRule="auto"/>
        <w:jc w:val="both"/>
        <w:rPr>
          <w:sz w:val="24"/>
          <w:szCs w:val="24"/>
        </w:rPr>
      </w:pPr>
      <w:r w:rsidRPr="0003714C">
        <w:rPr>
          <w:sz w:val="24"/>
          <w:szCs w:val="24"/>
        </w:rPr>
        <w:t xml:space="preserve">There are important choices to be made in how the investment which the Cassells report calls for is delivered. These are political and societal choices. However, </w:t>
      </w:r>
      <w:r w:rsidR="00F213AA" w:rsidRPr="0003714C">
        <w:rPr>
          <w:sz w:val="24"/>
          <w:szCs w:val="24"/>
        </w:rPr>
        <w:t xml:space="preserve">Chair, </w:t>
      </w:r>
      <w:r w:rsidRPr="0003714C">
        <w:rPr>
          <w:sz w:val="24"/>
          <w:szCs w:val="24"/>
        </w:rPr>
        <w:t xml:space="preserve">we </w:t>
      </w:r>
      <w:r w:rsidR="00F213AA" w:rsidRPr="0003714C">
        <w:rPr>
          <w:sz w:val="24"/>
          <w:szCs w:val="24"/>
        </w:rPr>
        <w:t>would like to</w:t>
      </w:r>
      <w:r w:rsidR="00AC3155" w:rsidRPr="0003714C">
        <w:rPr>
          <w:sz w:val="24"/>
          <w:szCs w:val="24"/>
        </w:rPr>
        <w:t xml:space="preserve"> </w:t>
      </w:r>
      <w:r w:rsidRPr="0003714C">
        <w:rPr>
          <w:sz w:val="24"/>
          <w:szCs w:val="24"/>
        </w:rPr>
        <w:t>offer some observations which bear on those choices</w:t>
      </w:r>
      <w:r w:rsidR="006B0F56" w:rsidRPr="0003714C">
        <w:rPr>
          <w:sz w:val="24"/>
          <w:szCs w:val="24"/>
        </w:rPr>
        <w:t>.</w:t>
      </w:r>
    </w:p>
    <w:p w:rsidR="00C103B2" w:rsidRPr="0003714C" w:rsidRDefault="00C103B2" w:rsidP="00C103B2">
      <w:pPr>
        <w:spacing w:line="360" w:lineRule="auto"/>
        <w:jc w:val="both"/>
        <w:rPr>
          <w:sz w:val="24"/>
          <w:szCs w:val="24"/>
        </w:rPr>
      </w:pPr>
    </w:p>
    <w:p w:rsidR="00254DDA" w:rsidRPr="0003714C" w:rsidRDefault="005C6CA3" w:rsidP="00C103B2">
      <w:pPr>
        <w:pStyle w:val="Heading3"/>
        <w:spacing w:line="360" w:lineRule="auto"/>
        <w:rPr>
          <w:sz w:val="24"/>
          <w:szCs w:val="24"/>
        </w:rPr>
      </w:pPr>
      <w:r w:rsidRPr="0003714C">
        <w:rPr>
          <w:sz w:val="24"/>
          <w:szCs w:val="24"/>
        </w:rPr>
        <w:t xml:space="preserve">5. </w:t>
      </w:r>
      <w:r w:rsidR="00254DDA" w:rsidRPr="0003714C">
        <w:rPr>
          <w:sz w:val="24"/>
          <w:szCs w:val="24"/>
        </w:rPr>
        <w:t>Public Funding</w:t>
      </w:r>
    </w:p>
    <w:p w:rsidR="00C103B2" w:rsidRPr="0003714C" w:rsidRDefault="006B0F56" w:rsidP="00C103B2">
      <w:pPr>
        <w:spacing w:line="360" w:lineRule="auto"/>
        <w:jc w:val="both"/>
        <w:rPr>
          <w:sz w:val="24"/>
          <w:szCs w:val="24"/>
        </w:rPr>
      </w:pPr>
      <w:r w:rsidRPr="0003714C">
        <w:rPr>
          <w:sz w:val="24"/>
          <w:szCs w:val="24"/>
        </w:rPr>
        <w:t>Firstly, p</w:t>
      </w:r>
      <w:r w:rsidR="00B27704" w:rsidRPr="0003714C">
        <w:rPr>
          <w:sz w:val="24"/>
          <w:szCs w:val="24"/>
        </w:rPr>
        <w:t>ublic funding must continue to be a foundation for higher education. This is especially the case in a society that values high participation rates</w:t>
      </w:r>
      <w:r w:rsidR="00AC3155" w:rsidRPr="0003714C">
        <w:rPr>
          <w:sz w:val="24"/>
          <w:szCs w:val="24"/>
        </w:rPr>
        <w:t>.</w:t>
      </w:r>
      <w:r w:rsidR="00B27704" w:rsidRPr="0003714C">
        <w:rPr>
          <w:sz w:val="24"/>
          <w:szCs w:val="24"/>
        </w:rPr>
        <w:t xml:space="preserve"> </w:t>
      </w:r>
    </w:p>
    <w:p w:rsidR="00B27704" w:rsidRPr="0003714C" w:rsidRDefault="00F213AA" w:rsidP="00C103B2">
      <w:pPr>
        <w:spacing w:line="360" w:lineRule="auto"/>
        <w:jc w:val="both"/>
        <w:rPr>
          <w:sz w:val="24"/>
          <w:szCs w:val="24"/>
        </w:rPr>
      </w:pPr>
      <w:r w:rsidRPr="0003714C">
        <w:rPr>
          <w:sz w:val="24"/>
          <w:szCs w:val="24"/>
        </w:rPr>
        <w:lastRenderedPageBreak/>
        <w:t>But historically, exchequer funding has not followed student growth.</w:t>
      </w:r>
      <w:r w:rsidR="00AC3155" w:rsidRPr="0003714C">
        <w:rPr>
          <w:sz w:val="24"/>
          <w:szCs w:val="24"/>
        </w:rPr>
        <w:t xml:space="preserve"> </w:t>
      </w:r>
      <w:proofErr w:type="gramStart"/>
      <w:r w:rsidR="009A6452" w:rsidRPr="0003714C">
        <w:rPr>
          <w:sz w:val="24"/>
          <w:szCs w:val="24"/>
        </w:rPr>
        <w:t>Between 2008 and 201</w:t>
      </w:r>
      <w:r w:rsidR="00997B94" w:rsidRPr="0003714C">
        <w:rPr>
          <w:sz w:val="24"/>
          <w:szCs w:val="24"/>
        </w:rPr>
        <w:t>5</w:t>
      </w:r>
      <w:r w:rsidR="009A6452" w:rsidRPr="0003714C">
        <w:rPr>
          <w:sz w:val="24"/>
          <w:szCs w:val="24"/>
        </w:rPr>
        <w:t xml:space="preserve"> student numbers rose by twenty percent.</w:t>
      </w:r>
      <w:proofErr w:type="gramEnd"/>
      <w:r w:rsidR="009A6452" w:rsidRPr="0003714C">
        <w:rPr>
          <w:sz w:val="24"/>
          <w:szCs w:val="24"/>
        </w:rPr>
        <w:t xml:space="preserve"> However, the unit of resource per student fell by twenty one percent. This combination of rising student numbers and falling resources per student is particularly toxic</w:t>
      </w:r>
      <w:r w:rsidR="00AC3155" w:rsidRPr="0003714C">
        <w:rPr>
          <w:sz w:val="24"/>
          <w:szCs w:val="24"/>
        </w:rPr>
        <w:t>,</w:t>
      </w:r>
      <w:r w:rsidR="009A6452" w:rsidRPr="0003714C">
        <w:rPr>
          <w:sz w:val="24"/>
          <w:szCs w:val="24"/>
        </w:rPr>
        <w:t xml:space="preserve"> and Ireland is at the bottom of the league in the OECD in this regard.</w:t>
      </w:r>
    </w:p>
    <w:p w:rsidR="00F213AA" w:rsidRPr="0003714C" w:rsidRDefault="00F213AA" w:rsidP="00C103B2">
      <w:pPr>
        <w:spacing w:line="360" w:lineRule="auto"/>
        <w:jc w:val="both"/>
        <w:rPr>
          <w:sz w:val="24"/>
          <w:szCs w:val="24"/>
        </w:rPr>
      </w:pPr>
      <w:r w:rsidRPr="0003714C">
        <w:rPr>
          <w:sz w:val="24"/>
          <w:szCs w:val="24"/>
        </w:rPr>
        <w:t>To begin to make meaningful inroads to the problem</w:t>
      </w:r>
      <w:r w:rsidR="006B0F56" w:rsidRPr="0003714C">
        <w:rPr>
          <w:sz w:val="24"/>
          <w:szCs w:val="24"/>
        </w:rPr>
        <w:t>,</w:t>
      </w:r>
      <w:r w:rsidRPr="0003714C">
        <w:rPr>
          <w:sz w:val="24"/>
          <w:szCs w:val="24"/>
        </w:rPr>
        <w:t xml:space="preserve"> our budget</w:t>
      </w:r>
      <w:r w:rsidR="00AC3155" w:rsidRPr="0003714C">
        <w:rPr>
          <w:sz w:val="24"/>
          <w:szCs w:val="24"/>
        </w:rPr>
        <w:t xml:space="preserve"> 2017</w:t>
      </w:r>
      <w:r w:rsidRPr="0003714C">
        <w:rPr>
          <w:sz w:val="24"/>
          <w:szCs w:val="24"/>
        </w:rPr>
        <w:t xml:space="preserve"> submission </w:t>
      </w:r>
      <w:r w:rsidR="00254DDA" w:rsidRPr="0003714C">
        <w:rPr>
          <w:sz w:val="24"/>
          <w:szCs w:val="24"/>
        </w:rPr>
        <w:t xml:space="preserve">called for an immediate injection of seventy five million </w:t>
      </w:r>
      <w:r w:rsidR="00F670F1" w:rsidRPr="0003714C">
        <w:rPr>
          <w:sz w:val="24"/>
          <w:szCs w:val="24"/>
        </w:rPr>
        <w:t>euro</w:t>
      </w:r>
      <w:r w:rsidR="000A2E0B" w:rsidRPr="0003714C">
        <w:rPr>
          <w:sz w:val="24"/>
          <w:szCs w:val="24"/>
        </w:rPr>
        <w:t xml:space="preserve"> (€75m)</w:t>
      </w:r>
      <w:r w:rsidR="00F670F1" w:rsidRPr="0003714C">
        <w:rPr>
          <w:sz w:val="24"/>
          <w:szCs w:val="24"/>
        </w:rPr>
        <w:t xml:space="preserve"> in </w:t>
      </w:r>
      <w:r w:rsidR="00254DDA" w:rsidRPr="0003714C">
        <w:rPr>
          <w:sz w:val="24"/>
          <w:szCs w:val="24"/>
        </w:rPr>
        <w:t>recurrent</w:t>
      </w:r>
      <w:r w:rsidR="00F670F1" w:rsidRPr="0003714C">
        <w:rPr>
          <w:sz w:val="24"/>
          <w:szCs w:val="24"/>
        </w:rPr>
        <w:t xml:space="preserve"> funding</w:t>
      </w:r>
      <w:r w:rsidR="00254DDA" w:rsidRPr="0003714C">
        <w:rPr>
          <w:sz w:val="24"/>
          <w:szCs w:val="24"/>
        </w:rPr>
        <w:t xml:space="preserve"> for universities and thirty million </w:t>
      </w:r>
      <w:r w:rsidR="000A2E0B" w:rsidRPr="0003714C">
        <w:rPr>
          <w:sz w:val="24"/>
          <w:szCs w:val="24"/>
        </w:rPr>
        <w:t>euro (€30</w:t>
      </w:r>
      <w:r w:rsidR="00093ECA" w:rsidRPr="0003714C">
        <w:rPr>
          <w:sz w:val="24"/>
          <w:szCs w:val="24"/>
        </w:rPr>
        <w:t>m</w:t>
      </w:r>
      <w:r w:rsidR="000A2E0B" w:rsidRPr="0003714C">
        <w:rPr>
          <w:sz w:val="24"/>
          <w:szCs w:val="24"/>
        </w:rPr>
        <w:t>)</w:t>
      </w:r>
      <w:r w:rsidR="00093ECA" w:rsidRPr="0003714C">
        <w:rPr>
          <w:sz w:val="24"/>
          <w:szCs w:val="24"/>
        </w:rPr>
        <w:t xml:space="preserve"> </w:t>
      </w:r>
      <w:r w:rsidR="00254DDA" w:rsidRPr="0003714C">
        <w:rPr>
          <w:sz w:val="24"/>
          <w:szCs w:val="24"/>
        </w:rPr>
        <w:t xml:space="preserve">in capital. The eventual outcome was a total package of </w:t>
      </w:r>
      <w:r w:rsidR="00093ECA" w:rsidRPr="0003714C">
        <w:rPr>
          <w:sz w:val="24"/>
          <w:szCs w:val="24"/>
        </w:rPr>
        <w:t>thirty six point five million euro (</w:t>
      </w:r>
      <w:r w:rsidR="000A2E0B" w:rsidRPr="0003714C">
        <w:rPr>
          <w:sz w:val="24"/>
          <w:szCs w:val="24"/>
        </w:rPr>
        <w:t>€</w:t>
      </w:r>
      <w:r w:rsidR="00254DDA" w:rsidRPr="0003714C">
        <w:rPr>
          <w:sz w:val="24"/>
          <w:szCs w:val="24"/>
        </w:rPr>
        <w:t>36.5</w:t>
      </w:r>
      <w:r w:rsidR="00093ECA" w:rsidRPr="0003714C">
        <w:rPr>
          <w:sz w:val="24"/>
          <w:szCs w:val="24"/>
        </w:rPr>
        <w:t>m</w:t>
      </w:r>
      <w:r w:rsidR="00BD7812" w:rsidRPr="0003714C">
        <w:rPr>
          <w:sz w:val="24"/>
          <w:szCs w:val="24"/>
        </w:rPr>
        <w:t>) recurrent</w:t>
      </w:r>
      <w:r w:rsidR="00093ECA" w:rsidRPr="0003714C">
        <w:rPr>
          <w:sz w:val="24"/>
          <w:szCs w:val="24"/>
        </w:rPr>
        <w:t xml:space="preserve"> </w:t>
      </w:r>
      <w:r w:rsidR="00BD7812" w:rsidRPr="0003714C">
        <w:rPr>
          <w:sz w:val="24"/>
          <w:szCs w:val="24"/>
        </w:rPr>
        <w:t>funding for</w:t>
      </w:r>
      <w:r w:rsidR="00254DDA" w:rsidRPr="0003714C">
        <w:rPr>
          <w:sz w:val="24"/>
          <w:szCs w:val="24"/>
        </w:rPr>
        <w:t xml:space="preserve"> higher education overall. </w:t>
      </w:r>
      <w:r w:rsidRPr="0003714C">
        <w:rPr>
          <w:sz w:val="24"/>
          <w:szCs w:val="24"/>
        </w:rPr>
        <w:t>However, only a small proportion of this is to address growth in student numbers and it will make no inroads into</w:t>
      </w:r>
      <w:r w:rsidR="00AC3155" w:rsidRPr="0003714C">
        <w:rPr>
          <w:sz w:val="24"/>
          <w:szCs w:val="24"/>
        </w:rPr>
        <w:t xml:space="preserve"> </w:t>
      </w:r>
      <w:r w:rsidR="00254DDA" w:rsidRPr="0003714C">
        <w:rPr>
          <w:sz w:val="24"/>
          <w:szCs w:val="24"/>
        </w:rPr>
        <w:t>improv</w:t>
      </w:r>
      <w:r w:rsidRPr="0003714C">
        <w:rPr>
          <w:sz w:val="24"/>
          <w:szCs w:val="24"/>
        </w:rPr>
        <w:t>ing</w:t>
      </w:r>
      <w:r w:rsidR="00254DDA" w:rsidRPr="0003714C">
        <w:rPr>
          <w:sz w:val="24"/>
          <w:szCs w:val="24"/>
        </w:rPr>
        <w:t xml:space="preserve"> st</w:t>
      </w:r>
      <w:r w:rsidR="006B0F56" w:rsidRPr="0003714C">
        <w:rPr>
          <w:sz w:val="24"/>
          <w:szCs w:val="24"/>
        </w:rPr>
        <w:t>udent-</w:t>
      </w:r>
      <w:r w:rsidR="00254DDA" w:rsidRPr="0003714C">
        <w:rPr>
          <w:sz w:val="24"/>
          <w:szCs w:val="24"/>
        </w:rPr>
        <w:t>staff ratios or rebuild</w:t>
      </w:r>
      <w:r w:rsidRPr="0003714C">
        <w:rPr>
          <w:sz w:val="24"/>
          <w:szCs w:val="24"/>
        </w:rPr>
        <w:t>ing</w:t>
      </w:r>
      <w:r w:rsidR="00254DDA" w:rsidRPr="0003714C">
        <w:rPr>
          <w:sz w:val="24"/>
          <w:szCs w:val="24"/>
        </w:rPr>
        <w:t xml:space="preserve"> quality. </w:t>
      </w:r>
    </w:p>
    <w:p w:rsidR="00093ECA" w:rsidRPr="0003714C" w:rsidRDefault="00B27704" w:rsidP="00C103B2">
      <w:pPr>
        <w:spacing w:line="360" w:lineRule="auto"/>
        <w:jc w:val="both"/>
        <w:rPr>
          <w:sz w:val="24"/>
          <w:szCs w:val="24"/>
        </w:rPr>
      </w:pPr>
      <w:r w:rsidRPr="0003714C">
        <w:rPr>
          <w:sz w:val="24"/>
          <w:szCs w:val="24"/>
        </w:rPr>
        <w:t>It appears t</w:t>
      </w:r>
      <w:r w:rsidR="006B0F56" w:rsidRPr="0003714C">
        <w:rPr>
          <w:sz w:val="24"/>
          <w:szCs w:val="24"/>
        </w:rPr>
        <w:t>hat no allocation whatsoever has been</w:t>
      </w:r>
      <w:r w:rsidRPr="0003714C">
        <w:rPr>
          <w:sz w:val="24"/>
          <w:szCs w:val="24"/>
        </w:rPr>
        <w:t xml:space="preserve"> made for an injection of capital</w:t>
      </w:r>
      <w:r w:rsidR="00093ECA" w:rsidRPr="0003714C">
        <w:rPr>
          <w:sz w:val="24"/>
          <w:szCs w:val="24"/>
        </w:rPr>
        <w:t>.</w:t>
      </w:r>
    </w:p>
    <w:p w:rsidR="00C103B2" w:rsidRPr="0003714C" w:rsidRDefault="00254DDA" w:rsidP="00C103B2">
      <w:pPr>
        <w:spacing w:line="360" w:lineRule="auto"/>
        <w:jc w:val="both"/>
        <w:rPr>
          <w:sz w:val="24"/>
          <w:szCs w:val="24"/>
        </w:rPr>
      </w:pPr>
      <w:r w:rsidRPr="0003714C">
        <w:rPr>
          <w:sz w:val="24"/>
          <w:szCs w:val="24"/>
        </w:rPr>
        <w:t xml:space="preserve">Unfortunately, this seems to reinforce historical experience in regard to the very real difficulty in moving towards a sustainable funding model based </w:t>
      </w:r>
      <w:r w:rsidR="00F670F1" w:rsidRPr="0003714C">
        <w:rPr>
          <w:sz w:val="24"/>
          <w:szCs w:val="24"/>
        </w:rPr>
        <w:t xml:space="preserve">solely </w:t>
      </w:r>
      <w:r w:rsidRPr="0003714C">
        <w:rPr>
          <w:sz w:val="24"/>
          <w:szCs w:val="24"/>
        </w:rPr>
        <w:t xml:space="preserve">on public investment. </w:t>
      </w:r>
    </w:p>
    <w:p w:rsidR="00254DDA" w:rsidRPr="0003714C" w:rsidRDefault="00254DDA" w:rsidP="00C103B2">
      <w:pPr>
        <w:spacing w:line="360" w:lineRule="auto"/>
        <w:jc w:val="both"/>
        <w:rPr>
          <w:sz w:val="24"/>
          <w:szCs w:val="24"/>
        </w:rPr>
      </w:pPr>
      <w:r w:rsidRPr="0003714C">
        <w:rPr>
          <w:sz w:val="24"/>
          <w:szCs w:val="24"/>
        </w:rPr>
        <w:t>Nevertheless</w:t>
      </w:r>
      <w:r w:rsidR="00F670F1" w:rsidRPr="0003714C">
        <w:rPr>
          <w:sz w:val="24"/>
          <w:szCs w:val="24"/>
        </w:rPr>
        <w:t>,</w:t>
      </w:r>
      <w:r w:rsidRPr="0003714C">
        <w:rPr>
          <w:sz w:val="24"/>
          <w:szCs w:val="24"/>
        </w:rPr>
        <w:t xml:space="preserve"> it does represent an improvement over years of actual cutbacks and the promised three year package of </w:t>
      </w:r>
      <w:r w:rsidR="00B27704" w:rsidRPr="0003714C">
        <w:rPr>
          <w:sz w:val="24"/>
          <w:szCs w:val="24"/>
        </w:rPr>
        <w:t xml:space="preserve">one hundred and sixty million </w:t>
      </w:r>
      <w:r w:rsidR="00F670F1" w:rsidRPr="0003714C">
        <w:rPr>
          <w:sz w:val="24"/>
          <w:szCs w:val="24"/>
        </w:rPr>
        <w:t xml:space="preserve">euro </w:t>
      </w:r>
      <w:r w:rsidR="00B27704" w:rsidRPr="0003714C">
        <w:rPr>
          <w:sz w:val="24"/>
          <w:szCs w:val="24"/>
        </w:rPr>
        <w:t>(</w:t>
      </w:r>
      <w:r w:rsidR="00093ECA" w:rsidRPr="0003714C">
        <w:rPr>
          <w:sz w:val="24"/>
          <w:szCs w:val="24"/>
        </w:rPr>
        <w:t>€</w:t>
      </w:r>
      <w:r w:rsidRPr="0003714C">
        <w:rPr>
          <w:sz w:val="24"/>
          <w:szCs w:val="24"/>
        </w:rPr>
        <w:t>160</w:t>
      </w:r>
      <w:r w:rsidR="00093ECA" w:rsidRPr="0003714C">
        <w:rPr>
          <w:sz w:val="24"/>
          <w:szCs w:val="24"/>
        </w:rPr>
        <w:t>m</w:t>
      </w:r>
      <w:r w:rsidR="00B27704" w:rsidRPr="0003714C">
        <w:rPr>
          <w:sz w:val="24"/>
          <w:szCs w:val="24"/>
        </w:rPr>
        <w:t>)</w:t>
      </w:r>
      <w:r w:rsidR="00563C90" w:rsidRPr="0003714C">
        <w:rPr>
          <w:sz w:val="24"/>
          <w:szCs w:val="24"/>
        </w:rPr>
        <w:t xml:space="preserve"> </w:t>
      </w:r>
      <w:r w:rsidRPr="0003714C">
        <w:rPr>
          <w:sz w:val="24"/>
          <w:szCs w:val="24"/>
        </w:rPr>
        <w:t xml:space="preserve">is a step in the right direction. However, it is very far from the </w:t>
      </w:r>
      <w:r w:rsidR="00B27704" w:rsidRPr="0003714C">
        <w:rPr>
          <w:sz w:val="24"/>
          <w:szCs w:val="24"/>
        </w:rPr>
        <w:t xml:space="preserve">six hundred million </w:t>
      </w:r>
      <w:r w:rsidR="00F670F1" w:rsidRPr="0003714C">
        <w:rPr>
          <w:sz w:val="24"/>
          <w:szCs w:val="24"/>
        </w:rPr>
        <w:t xml:space="preserve">euro </w:t>
      </w:r>
      <w:r w:rsidR="00B27704" w:rsidRPr="0003714C">
        <w:rPr>
          <w:sz w:val="24"/>
          <w:szCs w:val="24"/>
        </w:rPr>
        <w:t>(</w:t>
      </w:r>
      <w:r w:rsidR="00093ECA" w:rsidRPr="0003714C">
        <w:rPr>
          <w:sz w:val="24"/>
          <w:szCs w:val="24"/>
        </w:rPr>
        <w:t>€</w:t>
      </w:r>
      <w:r w:rsidRPr="0003714C">
        <w:rPr>
          <w:sz w:val="24"/>
          <w:szCs w:val="24"/>
        </w:rPr>
        <w:t>600</w:t>
      </w:r>
      <w:r w:rsidR="00B27704" w:rsidRPr="0003714C">
        <w:rPr>
          <w:sz w:val="24"/>
          <w:szCs w:val="24"/>
        </w:rPr>
        <w:t>m</w:t>
      </w:r>
      <w:r w:rsidR="00BD7812" w:rsidRPr="0003714C">
        <w:rPr>
          <w:sz w:val="24"/>
          <w:szCs w:val="24"/>
        </w:rPr>
        <w:t>) investment</w:t>
      </w:r>
      <w:r w:rsidRPr="0003714C">
        <w:rPr>
          <w:sz w:val="24"/>
          <w:szCs w:val="24"/>
        </w:rPr>
        <w:t xml:space="preserve"> called for in the Cassells report.</w:t>
      </w:r>
    </w:p>
    <w:p w:rsidR="00254DDA" w:rsidRPr="0003714C" w:rsidRDefault="005C6CA3" w:rsidP="00C103B2">
      <w:pPr>
        <w:pStyle w:val="Heading3"/>
        <w:spacing w:line="360" w:lineRule="auto"/>
        <w:rPr>
          <w:sz w:val="24"/>
          <w:szCs w:val="24"/>
        </w:rPr>
      </w:pPr>
      <w:r w:rsidRPr="0003714C">
        <w:rPr>
          <w:sz w:val="24"/>
          <w:szCs w:val="24"/>
        </w:rPr>
        <w:t xml:space="preserve">6. </w:t>
      </w:r>
      <w:r w:rsidR="00254DDA" w:rsidRPr="0003714C">
        <w:rPr>
          <w:sz w:val="24"/>
          <w:szCs w:val="24"/>
        </w:rPr>
        <w:t>Employer Contribution</w:t>
      </w:r>
    </w:p>
    <w:p w:rsidR="00254DDA" w:rsidRPr="0003714C" w:rsidRDefault="00E6286A" w:rsidP="00C103B2">
      <w:pPr>
        <w:spacing w:line="360" w:lineRule="auto"/>
        <w:jc w:val="both"/>
        <w:rPr>
          <w:sz w:val="24"/>
          <w:szCs w:val="24"/>
        </w:rPr>
      </w:pPr>
      <w:r w:rsidRPr="0003714C">
        <w:rPr>
          <w:sz w:val="24"/>
          <w:szCs w:val="24"/>
        </w:rPr>
        <w:t>On</w:t>
      </w:r>
      <w:r w:rsidR="00254DDA" w:rsidRPr="0003714C">
        <w:rPr>
          <w:sz w:val="24"/>
          <w:szCs w:val="24"/>
        </w:rPr>
        <w:t xml:space="preserve"> the matter of employer contributions</w:t>
      </w:r>
      <w:r w:rsidRPr="0003714C">
        <w:rPr>
          <w:sz w:val="24"/>
          <w:szCs w:val="24"/>
        </w:rPr>
        <w:t xml:space="preserve">, the </w:t>
      </w:r>
      <w:r w:rsidR="00254DDA" w:rsidRPr="0003714C">
        <w:rPr>
          <w:sz w:val="24"/>
          <w:szCs w:val="24"/>
        </w:rPr>
        <w:t>National Training</w:t>
      </w:r>
      <w:r w:rsidR="00C75320" w:rsidRPr="0003714C">
        <w:rPr>
          <w:sz w:val="24"/>
          <w:szCs w:val="24"/>
        </w:rPr>
        <w:t xml:space="preserve"> Fund was instigated in 2000 to support training in and for employment. </w:t>
      </w:r>
      <w:r w:rsidR="000B3812" w:rsidRPr="0003714C">
        <w:rPr>
          <w:sz w:val="24"/>
          <w:szCs w:val="24"/>
        </w:rPr>
        <w:t>I</w:t>
      </w:r>
      <w:r w:rsidR="00C75320" w:rsidRPr="0003714C">
        <w:rPr>
          <w:sz w:val="24"/>
          <w:szCs w:val="24"/>
        </w:rPr>
        <w:t xml:space="preserve">t must be said that higher education is demonstrably a very successful form of preparation for employment. Three issues arise in the context of the use of this fund for higher education. The first is that there is a need for greater transparency </w:t>
      </w:r>
      <w:r w:rsidR="00FC4705" w:rsidRPr="0003714C">
        <w:rPr>
          <w:sz w:val="24"/>
          <w:szCs w:val="24"/>
        </w:rPr>
        <w:t xml:space="preserve">as </w:t>
      </w:r>
      <w:r w:rsidR="00FC4705" w:rsidRPr="0003714C">
        <w:rPr>
          <w:sz w:val="24"/>
          <w:szCs w:val="24"/>
        </w:rPr>
        <w:lastRenderedPageBreak/>
        <w:t>to</w:t>
      </w:r>
      <w:r w:rsidR="00C75320" w:rsidRPr="0003714C">
        <w:rPr>
          <w:sz w:val="24"/>
          <w:szCs w:val="24"/>
        </w:rPr>
        <w:t xml:space="preserve"> where the </w:t>
      </w:r>
      <w:r w:rsidR="00FC4705" w:rsidRPr="0003714C">
        <w:rPr>
          <w:sz w:val="24"/>
          <w:szCs w:val="24"/>
        </w:rPr>
        <w:t>money in</w:t>
      </w:r>
      <w:r w:rsidR="00C75320" w:rsidRPr="0003714C">
        <w:rPr>
          <w:sz w:val="24"/>
          <w:szCs w:val="24"/>
        </w:rPr>
        <w:t xml:space="preserve"> the fund is currently expended, particularly in regard to the </w:t>
      </w:r>
      <w:r w:rsidR="00F670F1" w:rsidRPr="0003714C">
        <w:rPr>
          <w:sz w:val="24"/>
          <w:szCs w:val="24"/>
        </w:rPr>
        <w:t>“</w:t>
      </w:r>
      <w:r w:rsidR="00C110C3" w:rsidRPr="0003714C">
        <w:rPr>
          <w:sz w:val="24"/>
          <w:szCs w:val="24"/>
        </w:rPr>
        <w:t>for</w:t>
      </w:r>
      <w:r w:rsidR="00C75320" w:rsidRPr="0003714C">
        <w:rPr>
          <w:sz w:val="24"/>
          <w:szCs w:val="24"/>
        </w:rPr>
        <w:t xml:space="preserve"> employment</w:t>
      </w:r>
      <w:r w:rsidR="00F670F1" w:rsidRPr="0003714C">
        <w:rPr>
          <w:sz w:val="24"/>
          <w:szCs w:val="24"/>
        </w:rPr>
        <w:t>”</w:t>
      </w:r>
      <w:r w:rsidR="00C75320" w:rsidRPr="0003714C">
        <w:rPr>
          <w:sz w:val="24"/>
          <w:szCs w:val="24"/>
        </w:rPr>
        <w:t xml:space="preserve"> component. </w:t>
      </w:r>
    </w:p>
    <w:p w:rsidR="00C103B2" w:rsidRPr="0003714C" w:rsidRDefault="00C75320" w:rsidP="00C103B2">
      <w:pPr>
        <w:spacing w:line="360" w:lineRule="auto"/>
        <w:jc w:val="both"/>
        <w:rPr>
          <w:sz w:val="24"/>
          <w:szCs w:val="24"/>
        </w:rPr>
      </w:pPr>
      <w:r w:rsidRPr="0003714C">
        <w:rPr>
          <w:sz w:val="24"/>
          <w:szCs w:val="24"/>
        </w:rPr>
        <w:t>Secondly, this is a fund which is heavily in surplus</w:t>
      </w:r>
      <w:r w:rsidR="00F670F1" w:rsidRPr="0003714C">
        <w:rPr>
          <w:sz w:val="24"/>
          <w:szCs w:val="24"/>
        </w:rPr>
        <w:t>,</w:t>
      </w:r>
      <w:r w:rsidRPr="0003714C">
        <w:rPr>
          <w:sz w:val="24"/>
          <w:szCs w:val="24"/>
        </w:rPr>
        <w:t xml:space="preserve"> and that surplus is growing. The 2017 Abridged Book of Estimates projects a surplus of </w:t>
      </w:r>
      <w:r w:rsidR="00B27704" w:rsidRPr="0003714C">
        <w:rPr>
          <w:sz w:val="24"/>
          <w:szCs w:val="24"/>
        </w:rPr>
        <w:t xml:space="preserve">two hundred and seventy two million </w:t>
      </w:r>
      <w:r w:rsidR="00093ECA" w:rsidRPr="0003714C">
        <w:rPr>
          <w:sz w:val="24"/>
          <w:szCs w:val="24"/>
        </w:rPr>
        <w:t>euro (</w:t>
      </w:r>
      <w:r w:rsidR="00A62FE0" w:rsidRPr="0003714C">
        <w:rPr>
          <w:sz w:val="24"/>
          <w:szCs w:val="24"/>
        </w:rPr>
        <w:t>€</w:t>
      </w:r>
      <w:r w:rsidR="00F670F1" w:rsidRPr="0003714C">
        <w:rPr>
          <w:sz w:val="24"/>
          <w:szCs w:val="24"/>
        </w:rPr>
        <w:t>272</w:t>
      </w:r>
      <w:r w:rsidR="00B27704" w:rsidRPr="0003714C">
        <w:rPr>
          <w:sz w:val="24"/>
          <w:szCs w:val="24"/>
        </w:rPr>
        <w:t>m</w:t>
      </w:r>
      <w:r w:rsidR="00093ECA" w:rsidRPr="0003714C">
        <w:rPr>
          <w:sz w:val="24"/>
          <w:szCs w:val="24"/>
        </w:rPr>
        <w:t>)</w:t>
      </w:r>
      <w:r w:rsidRPr="0003714C">
        <w:rPr>
          <w:sz w:val="24"/>
          <w:szCs w:val="24"/>
        </w:rPr>
        <w:t xml:space="preserve"> at the end of 2017. At a time when wages and employment in the economy are growing</w:t>
      </w:r>
      <w:r w:rsidR="00F670F1" w:rsidRPr="0003714C">
        <w:rPr>
          <w:sz w:val="24"/>
          <w:szCs w:val="24"/>
        </w:rPr>
        <w:t xml:space="preserve"> and adding to this surplus</w:t>
      </w:r>
      <w:r w:rsidRPr="0003714C">
        <w:rPr>
          <w:sz w:val="24"/>
          <w:szCs w:val="24"/>
        </w:rPr>
        <w:t>, we must seriously question why this surplus is not being applied to the crisis in higher education funding</w:t>
      </w:r>
      <w:r w:rsidR="00F213AA" w:rsidRPr="0003714C">
        <w:rPr>
          <w:sz w:val="24"/>
          <w:szCs w:val="24"/>
        </w:rPr>
        <w:t>.</w:t>
      </w:r>
      <w:r w:rsidRPr="0003714C">
        <w:rPr>
          <w:sz w:val="24"/>
          <w:szCs w:val="24"/>
        </w:rPr>
        <w:t xml:space="preserve"> </w:t>
      </w:r>
    </w:p>
    <w:p w:rsidR="00C75320" w:rsidRPr="0003714C" w:rsidRDefault="00F213AA" w:rsidP="00C103B2">
      <w:pPr>
        <w:spacing w:line="360" w:lineRule="auto"/>
        <w:jc w:val="both"/>
        <w:rPr>
          <w:sz w:val="24"/>
          <w:szCs w:val="24"/>
        </w:rPr>
      </w:pPr>
      <w:r w:rsidRPr="0003714C">
        <w:rPr>
          <w:sz w:val="24"/>
          <w:szCs w:val="24"/>
        </w:rPr>
        <w:t>This matter should be addressed immediately, particularly in light of the outcome of the Estimates.</w:t>
      </w:r>
      <w:r w:rsidR="00AC3155" w:rsidRPr="0003714C">
        <w:rPr>
          <w:sz w:val="24"/>
          <w:szCs w:val="24"/>
        </w:rPr>
        <w:t xml:space="preserve"> </w:t>
      </w:r>
      <w:r w:rsidR="00C75320" w:rsidRPr="0003714C">
        <w:rPr>
          <w:sz w:val="24"/>
          <w:szCs w:val="24"/>
        </w:rPr>
        <w:t>Finally</w:t>
      </w:r>
      <w:r w:rsidR="006B0F56" w:rsidRPr="0003714C">
        <w:rPr>
          <w:sz w:val="24"/>
          <w:szCs w:val="24"/>
        </w:rPr>
        <w:t>,</w:t>
      </w:r>
      <w:r w:rsidR="00AC3155" w:rsidRPr="0003714C">
        <w:rPr>
          <w:sz w:val="24"/>
          <w:szCs w:val="24"/>
        </w:rPr>
        <w:t xml:space="preserve"> w</w:t>
      </w:r>
      <w:r w:rsidR="00C75320" w:rsidRPr="0003714C">
        <w:rPr>
          <w:sz w:val="24"/>
          <w:szCs w:val="24"/>
        </w:rPr>
        <w:t xml:space="preserve">hile we can understand that employers may balk against an increase </w:t>
      </w:r>
      <w:r w:rsidR="006F014B" w:rsidRPr="0003714C">
        <w:rPr>
          <w:sz w:val="24"/>
          <w:szCs w:val="24"/>
        </w:rPr>
        <w:t xml:space="preserve">in </w:t>
      </w:r>
      <w:r w:rsidR="00E6286A" w:rsidRPr="0003714C">
        <w:rPr>
          <w:sz w:val="24"/>
          <w:szCs w:val="24"/>
        </w:rPr>
        <w:t xml:space="preserve">the </w:t>
      </w:r>
      <w:r w:rsidR="00C75320" w:rsidRPr="0003714C">
        <w:rPr>
          <w:sz w:val="24"/>
          <w:szCs w:val="24"/>
        </w:rPr>
        <w:t>rate</w:t>
      </w:r>
      <w:r w:rsidR="00E6286A" w:rsidRPr="0003714C">
        <w:rPr>
          <w:sz w:val="24"/>
          <w:szCs w:val="24"/>
        </w:rPr>
        <w:t xml:space="preserve"> of the levy</w:t>
      </w:r>
      <w:r w:rsidR="00C75320" w:rsidRPr="0003714C">
        <w:rPr>
          <w:sz w:val="24"/>
          <w:szCs w:val="24"/>
        </w:rPr>
        <w:t xml:space="preserve">, it needs to be seen in the context of our overall corporate taxation regime </w:t>
      </w:r>
      <w:r w:rsidRPr="0003714C">
        <w:rPr>
          <w:sz w:val="24"/>
          <w:szCs w:val="24"/>
        </w:rPr>
        <w:t>and other reliefs and incentives available to business.</w:t>
      </w:r>
      <w:r w:rsidR="00C75320" w:rsidRPr="0003714C">
        <w:rPr>
          <w:sz w:val="24"/>
          <w:szCs w:val="24"/>
        </w:rPr>
        <w:t xml:space="preserve"> </w:t>
      </w:r>
      <w:r w:rsidRPr="0003714C">
        <w:rPr>
          <w:sz w:val="24"/>
          <w:szCs w:val="24"/>
        </w:rPr>
        <w:t>T</w:t>
      </w:r>
      <w:r w:rsidR="00C75320" w:rsidRPr="0003714C">
        <w:rPr>
          <w:sz w:val="24"/>
          <w:szCs w:val="24"/>
        </w:rPr>
        <w:t xml:space="preserve">he </w:t>
      </w:r>
      <w:r w:rsidR="00B27704" w:rsidRPr="0003714C">
        <w:rPr>
          <w:sz w:val="24"/>
          <w:szCs w:val="24"/>
        </w:rPr>
        <w:t>fifty million euro (</w:t>
      </w:r>
      <w:r w:rsidR="00A62FE0" w:rsidRPr="0003714C">
        <w:rPr>
          <w:sz w:val="24"/>
          <w:szCs w:val="24"/>
        </w:rPr>
        <w:t>€</w:t>
      </w:r>
      <w:r w:rsidR="00C75320" w:rsidRPr="0003714C">
        <w:rPr>
          <w:sz w:val="24"/>
          <w:szCs w:val="24"/>
        </w:rPr>
        <w:t>50</w:t>
      </w:r>
      <w:r w:rsidR="00B27704" w:rsidRPr="0003714C">
        <w:rPr>
          <w:sz w:val="24"/>
          <w:szCs w:val="24"/>
        </w:rPr>
        <w:t>m)</w:t>
      </w:r>
      <w:r w:rsidR="00093ECA" w:rsidRPr="0003714C">
        <w:rPr>
          <w:sz w:val="24"/>
          <w:szCs w:val="24"/>
        </w:rPr>
        <w:t xml:space="preserve"> </w:t>
      </w:r>
      <w:r w:rsidR="00C75320" w:rsidRPr="0003714C">
        <w:rPr>
          <w:sz w:val="24"/>
          <w:szCs w:val="24"/>
        </w:rPr>
        <w:t xml:space="preserve">which a 0.1 percent </w:t>
      </w:r>
      <w:r w:rsidR="00FC4705" w:rsidRPr="0003714C">
        <w:rPr>
          <w:sz w:val="24"/>
          <w:szCs w:val="24"/>
        </w:rPr>
        <w:t xml:space="preserve">increase </w:t>
      </w:r>
      <w:r w:rsidR="00C75320" w:rsidRPr="0003714C">
        <w:rPr>
          <w:sz w:val="24"/>
          <w:szCs w:val="24"/>
        </w:rPr>
        <w:t xml:space="preserve">in the levy is projected </w:t>
      </w:r>
      <w:r w:rsidR="00F670F1" w:rsidRPr="0003714C">
        <w:rPr>
          <w:sz w:val="24"/>
          <w:szCs w:val="24"/>
        </w:rPr>
        <w:t xml:space="preserve">by the Cassells group </w:t>
      </w:r>
      <w:r w:rsidR="00C75320" w:rsidRPr="0003714C">
        <w:rPr>
          <w:sz w:val="24"/>
          <w:szCs w:val="24"/>
        </w:rPr>
        <w:t xml:space="preserve">to yield </w:t>
      </w:r>
      <w:r w:rsidRPr="0003714C">
        <w:rPr>
          <w:sz w:val="24"/>
          <w:szCs w:val="24"/>
        </w:rPr>
        <w:t>is not insignificant in the context of the difficulties facing the sector.</w:t>
      </w:r>
    </w:p>
    <w:p w:rsidR="00C75320" w:rsidRPr="0003714C" w:rsidRDefault="005C6CA3" w:rsidP="00C103B2">
      <w:pPr>
        <w:pStyle w:val="Heading3"/>
        <w:spacing w:line="360" w:lineRule="auto"/>
        <w:rPr>
          <w:sz w:val="24"/>
          <w:szCs w:val="24"/>
        </w:rPr>
      </w:pPr>
      <w:r w:rsidRPr="0003714C">
        <w:rPr>
          <w:sz w:val="24"/>
          <w:szCs w:val="24"/>
        </w:rPr>
        <w:t xml:space="preserve">7. </w:t>
      </w:r>
      <w:r w:rsidR="00C75320" w:rsidRPr="0003714C">
        <w:rPr>
          <w:sz w:val="24"/>
          <w:szCs w:val="24"/>
        </w:rPr>
        <w:t>Student Contribution</w:t>
      </w:r>
    </w:p>
    <w:p w:rsidR="000C45A3" w:rsidRPr="0003714C" w:rsidRDefault="006B0F56" w:rsidP="00C103B2">
      <w:pPr>
        <w:spacing w:line="360" w:lineRule="auto"/>
        <w:jc w:val="both"/>
        <w:rPr>
          <w:sz w:val="24"/>
          <w:szCs w:val="24"/>
        </w:rPr>
      </w:pPr>
      <w:r w:rsidRPr="0003714C">
        <w:rPr>
          <w:sz w:val="24"/>
          <w:szCs w:val="24"/>
        </w:rPr>
        <w:t>I will</w:t>
      </w:r>
      <w:r w:rsidR="00E565E1" w:rsidRPr="0003714C">
        <w:rPr>
          <w:sz w:val="24"/>
          <w:szCs w:val="24"/>
        </w:rPr>
        <w:t xml:space="preserve"> turn now Chair, to the student contribution. Firstly, we should acknowledge that the current student charge at </w:t>
      </w:r>
      <w:r w:rsidR="00093ECA" w:rsidRPr="0003714C">
        <w:rPr>
          <w:sz w:val="24"/>
          <w:szCs w:val="24"/>
        </w:rPr>
        <w:t xml:space="preserve">three thousand euro </w:t>
      </w:r>
      <w:r w:rsidR="001A6FC6" w:rsidRPr="0003714C">
        <w:rPr>
          <w:sz w:val="24"/>
          <w:szCs w:val="24"/>
        </w:rPr>
        <w:t>(</w:t>
      </w:r>
      <w:r w:rsidR="00A62FE0" w:rsidRPr="0003714C">
        <w:rPr>
          <w:sz w:val="24"/>
          <w:szCs w:val="24"/>
        </w:rPr>
        <w:t>€</w:t>
      </w:r>
      <w:r w:rsidR="00E565E1" w:rsidRPr="0003714C">
        <w:rPr>
          <w:sz w:val="24"/>
          <w:szCs w:val="24"/>
        </w:rPr>
        <w:t>3,000</w:t>
      </w:r>
      <w:r w:rsidR="001A6FC6" w:rsidRPr="0003714C">
        <w:rPr>
          <w:sz w:val="24"/>
          <w:szCs w:val="24"/>
        </w:rPr>
        <w:t>)</w:t>
      </w:r>
      <w:r w:rsidR="00E565E1" w:rsidRPr="0003714C">
        <w:rPr>
          <w:sz w:val="24"/>
          <w:szCs w:val="24"/>
        </w:rPr>
        <w:t xml:space="preserve"> per annum is substantial. However, </w:t>
      </w:r>
      <w:r w:rsidR="001A6FC6" w:rsidRPr="0003714C">
        <w:rPr>
          <w:sz w:val="24"/>
          <w:szCs w:val="24"/>
        </w:rPr>
        <w:t xml:space="preserve">if </w:t>
      </w:r>
      <w:r w:rsidR="00F213AA" w:rsidRPr="0003714C">
        <w:rPr>
          <w:sz w:val="24"/>
          <w:szCs w:val="24"/>
        </w:rPr>
        <w:t>these funds</w:t>
      </w:r>
      <w:r w:rsidR="001A6FC6" w:rsidRPr="0003714C">
        <w:rPr>
          <w:sz w:val="24"/>
          <w:szCs w:val="24"/>
        </w:rPr>
        <w:t xml:space="preserve"> did not exist</w:t>
      </w:r>
      <w:r w:rsidR="00F213AA" w:rsidRPr="0003714C">
        <w:rPr>
          <w:sz w:val="24"/>
          <w:szCs w:val="24"/>
        </w:rPr>
        <w:t xml:space="preserve">, </w:t>
      </w:r>
      <w:r w:rsidR="00E565E1" w:rsidRPr="0003714C">
        <w:rPr>
          <w:sz w:val="24"/>
          <w:szCs w:val="24"/>
        </w:rPr>
        <w:t>not just quality</w:t>
      </w:r>
      <w:r w:rsidR="00F670F1" w:rsidRPr="0003714C">
        <w:rPr>
          <w:sz w:val="24"/>
          <w:szCs w:val="24"/>
        </w:rPr>
        <w:t>,</w:t>
      </w:r>
      <w:r w:rsidR="00E565E1" w:rsidRPr="0003714C">
        <w:rPr>
          <w:sz w:val="24"/>
          <w:szCs w:val="24"/>
        </w:rPr>
        <w:t xml:space="preserve"> but the actual v</w:t>
      </w:r>
      <w:r w:rsidR="00AB3F66" w:rsidRPr="0003714C">
        <w:rPr>
          <w:sz w:val="24"/>
          <w:szCs w:val="24"/>
        </w:rPr>
        <w:t>iability of the system w</w:t>
      </w:r>
      <w:r w:rsidR="000C45A3" w:rsidRPr="0003714C">
        <w:rPr>
          <w:sz w:val="24"/>
          <w:szCs w:val="24"/>
        </w:rPr>
        <w:t>ould be</w:t>
      </w:r>
      <w:r w:rsidR="00AB3F66" w:rsidRPr="0003714C">
        <w:rPr>
          <w:sz w:val="24"/>
          <w:szCs w:val="24"/>
        </w:rPr>
        <w:t xml:space="preserve"> </w:t>
      </w:r>
      <w:r w:rsidR="009A6452" w:rsidRPr="0003714C">
        <w:rPr>
          <w:sz w:val="24"/>
          <w:szCs w:val="24"/>
        </w:rPr>
        <w:t>put at risk.</w:t>
      </w:r>
    </w:p>
    <w:p w:rsidR="009A6452" w:rsidRPr="0003714C" w:rsidRDefault="00E565E1" w:rsidP="00C103B2">
      <w:pPr>
        <w:spacing w:line="360" w:lineRule="auto"/>
        <w:jc w:val="both"/>
        <w:rPr>
          <w:sz w:val="24"/>
          <w:szCs w:val="24"/>
        </w:rPr>
      </w:pPr>
      <w:r w:rsidRPr="0003714C">
        <w:rPr>
          <w:sz w:val="24"/>
          <w:szCs w:val="24"/>
        </w:rPr>
        <w:t>One important aspect of having a student contribution is that</w:t>
      </w:r>
      <w:r w:rsidR="009A6452" w:rsidRPr="0003714C">
        <w:rPr>
          <w:sz w:val="24"/>
          <w:szCs w:val="24"/>
        </w:rPr>
        <w:t xml:space="preserve"> it ensures a level of financial stability when student numbers are rising, since each additional student brings additional resources into the system. </w:t>
      </w:r>
      <w:r w:rsidR="00106526" w:rsidRPr="0003714C">
        <w:rPr>
          <w:sz w:val="24"/>
          <w:szCs w:val="24"/>
        </w:rPr>
        <w:t>Given the Cassells group’s projections for increased student numbers, this factor is critical.</w:t>
      </w:r>
    </w:p>
    <w:p w:rsidR="00106526" w:rsidRPr="0003714C" w:rsidRDefault="000C45A3" w:rsidP="00C103B2">
      <w:pPr>
        <w:spacing w:line="360" w:lineRule="auto"/>
        <w:jc w:val="both"/>
        <w:rPr>
          <w:sz w:val="24"/>
          <w:szCs w:val="24"/>
          <w:u w:val="single"/>
        </w:rPr>
      </w:pPr>
      <w:r w:rsidRPr="0003714C">
        <w:rPr>
          <w:sz w:val="24"/>
          <w:szCs w:val="24"/>
          <w:u w:val="single"/>
        </w:rPr>
        <w:t>In terms of the mix of funding, p</w:t>
      </w:r>
      <w:r w:rsidR="00106526" w:rsidRPr="0003714C">
        <w:rPr>
          <w:sz w:val="24"/>
          <w:szCs w:val="24"/>
          <w:u w:val="single"/>
        </w:rPr>
        <w:t>recisely who should pay what</w:t>
      </w:r>
      <w:r w:rsidR="001A6FC6" w:rsidRPr="0003714C">
        <w:rPr>
          <w:sz w:val="24"/>
          <w:szCs w:val="24"/>
          <w:u w:val="single"/>
        </w:rPr>
        <w:t>,</w:t>
      </w:r>
      <w:r w:rsidR="00106526" w:rsidRPr="0003714C">
        <w:rPr>
          <w:sz w:val="24"/>
          <w:szCs w:val="24"/>
          <w:u w:val="single"/>
        </w:rPr>
        <w:t xml:space="preserve"> across the spectrum of state, students and employers is essentially a societal and political choice.</w:t>
      </w:r>
    </w:p>
    <w:p w:rsidR="00D637A3" w:rsidRPr="0003714C" w:rsidRDefault="00106526" w:rsidP="00C103B2">
      <w:pPr>
        <w:spacing w:line="360" w:lineRule="auto"/>
        <w:jc w:val="both"/>
        <w:rPr>
          <w:sz w:val="24"/>
          <w:szCs w:val="24"/>
        </w:rPr>
      </w:pPr>
      <w:r w:rsidRPr="0003714C">
        <w:rPr>
          <w:sz w:val="24"/>
          <w:szCs w:val="24"/>
        </w:rPr>
        <w:t xml:space="preserve">However, we want to state </w:t>
      </w:r>
      <w:r w:rsidR="00BD7812" w:rsidRPr="0003714C">
        <w:rPr>
          <w:sz w:val="24"/>
          <w:szCs w:val="24"/>
        </w:rPr>
        <w:t>upfront that</w:t>
      </w:r>
      <w:r w:rsidRPr="0003714C">
        <w:rPr>
          <w:sz w:val="24"/>
          <w:szCs w:val="24"/>
        </w:rPr>
        <w:t xml:space="preserve"> we endorse the Cassells groups’ view that a system where very high levels of fees</w:t>
      </w:r>
      <w:r w:rsidR="006B0F56" w:rsidRPr="0003714C">
        <w:rPr>
          <w:sz w:val="24"/>
          <w:szCs w:val="24"/>
        </w:rPr>
        <w:t xml:space="preserve"> (such as those applying in </w:t>
      </w:r>
      <w:r w:rsidR="006B0F56" w:rsidRPr="0003714C">
        <w:rPr>
          <w:sz w:val="24"/>
          <w:szCs w:val="24"/>
        </w:rPr>
        <w:lastRenderedPageBreak/>
        <w:t>the UK or the US)</w:t>
      </w:r>
      <w:r w:rsidRPr="0003714C">
        <w:rPr>
          <w:sz w:val="24"/>
          <w:szCs w:val="24"/>
        </w:rPr>
        <w:t xml:space="preserve"> are charged</w:t>
      </w:r>
      <w:r w:rsidR="00997B94" w:rsidRPr="0003714C">
        <w:rPr>
          <w:sz w:val="24"/>
          <w:szCs w:val="24"/>
        </w:rPr>
        <w:t xml:space="preserve"> is not acceptable</w:t>
      </w:r>
      <w:r w:rsidR="006B0F56" w:rsidRPr="0003714C">
        <w:rPr>
          <w:sz w:val="24"/>
          <w:szCs w:val="24"/>
        </w:rPr>
        <w:t>,</w:t>
      </w:r>
      <w:r w:rsidRPr="0003714C">
        <w:rPr>
          <w:sz w:val="24"/>
          <w:szCs w:val="24"/>
        </w:rPr>
        <w:t xml:space="preserve"> </w:t>
      </w:r>
      <w:r w:rsidR="006E499D" w:rsidRPr="0003714C">
        <w:rPr>
          <w:sz w:val="24"/>
          <w:szCs w:val="24"/>
        </w:rPr>
        <w:t xml:space="preserve">whether </w:t>
      </w:r>
      <w:r w:rsidR="00997B94" w:rsidRPr="0003714C">
        <w:rPr>
          <w:sz w:val="24"/>
          <w:szCs w:val="24"/>
        </w:rPr>
        <w:t xml:space="preserve">paid </w:t>
      </w:r>
      <w:r w:rsidR="006E499D" w:rsidRPr="0003714C">
        <w:rPr>
          <w:sz w:val="24"/>
          <w:szCs w:val="24"/>
        </w:rPr>
        <w:t xml:space="preserve">up front or </w:t>
      </w:r>
      <w:r w:rsidRPr="0003714C">
        <w:rPr>
          <w:sz w:val="24"/>
          <w:szCs w:val="24"/>
        </w:rPr>
        <w:t>under an income contingent loans system. It runs counter to the principles articulated in Chapter four of the report, particularly that of Fairness and Balance.</w:t>
      </w:r>
    </w:p>
    <w:p w:rsidR="00F87C2E" w:rsidRPr="0003714C" w:rsidRDefault="00BD7812" w:rsidP="00C103B2">
      <w:pPr>
        <w:spacing w:line="360" w:lineRule="auto"/>
        <w:jc w:val="both"/>
        <w:rPr>
          <w:sz w:val="24"/>
          <w:szCs w:val="24"/>
        </w:rPr>
      </w:pPr>
      <w:r w:rsidRPr="0003714C">
        <w:rPr>
          <w:sz w:val="24"/>
          <w:szCs w:val="24"/>
        </w:rPr>
        <w:t>We also want to suggest that</w:t>
      </w:r>
      <w:r w:rsidR="006B0F56" w:rsidRPr="0003714C">
        <w:rPr>
          <w:sz w:val="24"/>
          <w:szCs w:val="24"/>
        </w:rPr>
        <w:t>,</w:t>
      </w:r>
      <w:r w:rsidR="000C45A3" w:rsidRPr="0003714C">
        <w:rPr>
          <w:sz w:val="24"/>
          <w:szCs w:val="24"/>
        </w:rPr>
        <w:t xml:space="preserve"> regardless of the level of the charge</w:t>
      </w:r>
      <w:r w:rsidR="006B0F56" w:rsidRPr="0003714C">
        <w:rPr>
          <w:sz w:val="24"/>
          <w:szCs w:val="24"/>
        </w:rPr>
        <w:t>,</w:t>
      </w:r>
      <w:r w:rsidR="000C45A3" w:rsidRPr="0003714C">
        <w:rPr>
          <w:sz w:val="24"/>
          <w:szCs w:val="24"/>
        </w:rPr>
        <w:t xml:space="preserve"> there are arguments in favour of</w:t>
      </w:r>
      <w:r w:rsidR="001A6FC6" w:rsidRPr="0003714C">
        <w:rPr>
          <w:sz w:val="24"/>
          <w:szCs w:val="24"/>
        </w:rPr>
        <w:t xml:space="preserve"> </w:t>
      </w:r>
      <w:r w:rsidRPr="0003714C">
        <w:rPr>
          <w:sz w:val="24"/>
          <w:szCs w:val="24"/>
        </w:rPr>
        <w:t>deferred payment</w:t>
      </w:r>
      <w:r w:rsidR="000C45A3" w:rsidRPr="0003714C">
        <w:rPr>
          <w:sz w:val="24"/>
          <w:szCs w:val="24"/>
        </w:rPr>
        <w:t>.</w:t>
      </w:r>
      <w:r w:rsidR="00D637A3" w:rsidRPr="0003714C">
        <w:rPr>
          <w:sz w:val="24"/>
          <w:szCs w:val="24"/>
        </w:rPr>
        <w:t xml:space="preserve"> </w:t>
      </w:r>
      <w:r w:rsidR="000C45A3" w:rsidRPr="0003714C">
        <w:rPr>
          <w:sz w:val="24"/>
          <w:szCs w:val="24"/>
        </w:rPr>
        <w:t xml:space="preserve">It </w:t>
      </w:r>
      <w:r w:rsidR="00D637A3" w:rsidRPr="0003714C">
        <w:rPr>
          <w:sz w:val="24"/>
          <w:szCs w:val="24"/>
        </w:rPr>
        <w:t xml:space="preserve">avoids pressures on families </w:t>
      </w:r>
      <w:r w:rsidR="00E82293" w:rsidRPr="0003714C">
        <w:rPr>
          <w:sz w:val="24"/>
          <w:szCs w:val="24"/>
        </w:rPr>
        <w:t xml:space="preserve">to </w:t>
      </w:r>
      <w:r w:rsidR="00093ECA" w:rsidRPr="0003714C">
        <w:rPr>
          <w:sz w:val="24"/>
          <w:szCs w:val="24"/>
        </w:rPr>
        <w:t xml:space="preserve">pay up front at a time when family incomes are under a variety of pressures in the wake of the economic crisis. </w:t>
      </w:r>
      <w:r w:rsidR="00E82293" w:rsidRPr="0003714C">
        <w:rPr>
          <w:sz w:val="24"/>
          <w:szCs w:val="24"/>
        </w:rPr>
        <w:t xml:space="preserve">In some cases, this involves borrowing at commercial rates with the requirement for immediate repayment – conditions which are more onerous than </w:t>
      </w:r>
      <w:r w:rsidR="00F87C2E" w:rsidRPr="0003714C">
        <w:rPr>
          <w:sz w:val="24"/>
          <w:szCs w:val="24"/>
        </w:rPr>
        <w:t xml:space="preserve">those envisaged for an income contingent loans scheme. </w:t>
      </w:r>
    </w:p>
    <w:p w:rsidR="004276A4" w:rsidRPr="0003714C" w:rsidRDefault="00D637A3" w:rsidP="00C103B2">
      <w:pPr>
        <w:spacing w:line="360" w:lineRule="auto"/>
        <w:jc w:val="both"/>
        <w:rPr>
          <w:sz w:val="24"/>
          <w:szCs w:val="24"/>
        </w:rPr>
      </w:pPr>
      <w:r w:rsidRPr="0003714C">
        <w:rPr>
          <w:sz w:val="24"/>
          <w:szCs w:val="24"/>
        </w:rPr>
        <w:t>In terms of the scale of resourcing challenge facing the sector, the burden spreading which a loans system allows</w:t>
      </w:r>
      <w:r w:rsidR="001A6FC6" w:rsidRPr="0003714C">
        <w:rPr>
          <w:sz w:val="24"/>
          <w:szCs w:val="24"/>
        </w:rPr>
        <w:t>,</w:t>
      </w:r>
      <w:r w:rsidRPr="0003714C">
        <w:rPr>
          <w:sz w:val="24"/>
          <w:szCs w:val="24"/>
        </w:rPr>
        <w:t xml:space="preserve"> does</w:t>
      </w:r>
      <w:r w:rsidR="00093ECA" w:rsidRPr="0003714C">
        <w:rPr>
          <w:sz w:val="24"/>
          <w:szCs w:val="24"/>
        </w:rPr>
        <w:t>,</w:t>
      </w:r>
      <w:r w:rsidRPr="0003714C">
        <w:rPr>
          <w:sz w:val="24"/>
          <w:szCs w:val="24"/>
        </w:rPr>
        <w:t xml:space="preserve"> at a practical level, make some increase in the student contribution component more feasible. </w:t>
      </w:r>
    </w:p>
    <w:p w:rsidR="002457DB" w:rsidRPr="0003714C" w:rsidRDefault="002457DB" w:rsidP="00C103B2">
      <w:pPr>
        <w:spacing w:line="360" w:lineRule="auto"/>
        <w:jc w:val="both"/>
        <w:rPr>
          <w:sz w:val="24"/>
          <w:szCs w:val="24"/>
        </w:rPr>
      </w:pPr>
      <w:r w:rsidRPr="0003714C">
        <w:rPr>
          <w:sz w:val="24"/>
          <w:szCs w:val="24"/>
        </w:rPr>
        <w:t xml:space="preserve">Any such increase needs to be seen in the context of the returns from investing in higher education. The OECD calculates that the private returns </w:t>
      </w:r>
      <w:r w:rsidR="00E6286A" w:rsidRPr="0003714C">
        <w:rPr>
          <w:sz w:val="24"/>
          <w:szCs w:val="24"/>
        </w:rPr>
        <w:t xml:space="preserve">to an individual </w:t>
      </w:r>
      <w:r w:rsidRPr="0003714C">
        <w:rPr>
          <w:sz w:val="24"/>
          <w:szCs w:val="24"/>
        </w:rPr>
        <w:t>from higher education in Ireland are the highest among the member countries surveyed – by a substantial margin.</w:t>
      </w:r>
    </w:p>
    <w:p w:rsidR="004276A4" w:rsidRPr="0003714C" w:rsidRDefault="00093ECA" w:rsidP="00C103B2">
      <w:pPr>
        <w:spacing w:line="360" w:lineRule="auto"/>
        <w:jc w:val="both"/>
        <w:rPr>
          <w:sz w:val="24"/>
          <w:szCs w:val="24"/>
        </w:rPr>
      </w:pPr>
      <w:r w:rsidRPr="0003714C">
        <w:rPr>
          <w:sz w:val="24"/>
          <w:szCs w:val="24"/>
        </w:rPr>
        <w:t>T</w:t>
      </w:r>
      <w:r w:rsidR="00525C32" w:rsidRPr="0003714C">
        <w:rPr>
          <w:sz w:val="24"/>
          <w:szCs w:val="24"/>
        </w:rPr>
        <w:t>he group</w:t>
      </w:r>
      <w:r w:rsidR="00E6286A" w:rsidRPr="0003714C">
        <w:rPr>
          <w:sz w:val="24"/>
          <w:szCs w:val="24"/>
        </w:rPr>
        <w:t xml:space="preserve">’s assessment of </w:t>
      </w:r>
      <w:r w:rsidR="00525C32" w:rsidRPr="0003714C">
        <w:rPr>
          <w:sz w:val="24"/>
          <w:szCs w:val="24"/>
        </w:rPr>
        <w:t>likely repayment scenarios involving loans of sixteen and twenty thousand euros</w:t>
      </w:r>
      <w:r w:rsidR="0016150F" w:rsidRPr="0003714C">
        <w:rPr>
          <w:sz w:val="24"/>
          <w:szCs w:val="24"/>
        </w:rPr>
        <w:t>,</w:t>
      </w:r>
      <w:r w:rsidR="001A6FC6" w:rsidRPr="0003714C">
        <w:rPr>
          <w:sz w:val="24"/>
          <w:szCs w:val="24"/>
        </w:rPr>
        <w:t xml:space="preserve"> respectively, </w:t>
      </w:r>
      <w:r w:rsidR="00525C32" w:rsidRPr="0003714C">
        <w:rPr>
          <w:sz w:val="24"/>
          <w:szCs w:val="24"/>
        </w:rPr>
        <w:t>suggest</w:t>
      </w:r>
      <w:r w:rsidR="000C45A3" w:rsidRPr="0003714C">
        <w:rPr>
          <w:sz w:val="24"/>
          <w:szCs w:val="24"/>
        </w:rPr>
        <w:t xml:space="preserve"> to us</w:t>
      </w:r>
      <w:r w:rsidR="00525C32" w:rsidRPr="0003714C">
        <w:rPr>
          <w:sz w:val="24"/>
          <w:szCs w:val="24"/>
        </w:rPr>
        <w:t xml:space="preserve"> that an affordable system can be constructed and that progressivity can be built into such a system.</w:t>
      </w:r>
      <w:r w:rsidR="005C6CA3" w:rsidRPr="0003714C">
        <w:rPr>
          <w:sz w:val="24"/>
          <w:szCs w:val="24"/>
        </w:rPr>
        <w:t xml:space="preserve"> </w:t>
      </w:r>
    </w:p>
    <w:p w:rsidR="00525C32" w:rsidRPr="0003714C" w:rsidRDefault="00525C32" w:rsidP="00C103B2">
      <w:pPr>
        <w:spacing w:line="360" w:lineRule="auto"/>
        <w:jc w:val="both"/>
        <w:rPr>
          <w:sz w:val="24"/>
          <w:szCs w:val="24"/>
        </w:rPr>
      </w:pPr>
      <w:r w:rsidRPr="0003714C">
        <w:rPr>
          <w:sz w:val="24"/>
          <w:szCs w:val="24"/>
        </w:rPr>
        <w:t>We would also like to mention that the current system whereby the state pays the student charge for a large cohort of students is not without opportunity cost since this absorbs resources which could otherwise be channelled into the system to improve both maintenance grants and past</w:t>
      </w:r>
      <w:r w:rsidR="001A6FC6" w:rsidRPr="0003714C">
        <w:rPr>
          <w:sz w:val="24"/>
          <w:szCs w:val="24"/>
        </w:rPr>
        <w:t xml:space="preserve">oral and other supports for </w:t>
      </w:r>
      <w:r w:rsidR="000B3812" w:rsidRPr="0003714C">
        <w:rPr>
          <w:sz w:val="24"/>
          <w:szCs w:val="24"/>
        </w:rPr>
        <w:t xml:space="preserve">access </w:t>
      </w:r>
      <w:r w:rsidRPr="0003714C">
        <w:rPr>
          <w:sz w:val="24"/>
          <w:szCs w:val="24"/>
        </w:rPr>
        <w:t xml:space="preserve">students. </w:t>
      </w:r>
    </w:p>
    <w:p w:rsidR="00296469" w:rsidRPr="0003714C" w:rsidRDefault="005C6CA3" w:rsidP="00C103B2">
      <w:pPr>
        <w:pStyle w:val="Heading3"/>
        <w:spacing w:line="360" w:lineRule="auto"/>
        <w:rPr>
          <w:sz w:val="24"/>
          <w:szCs w:val="24"/>
        </w:rPr>
      </w:pPr>
      <w:r w:rsidRPr="0003714C">
        <w:rPr>
          <w:sz w:val="24"/>
          <w:szCs w:val="24"/>
        </w:rPr>
        <w:t>8. Conclusion</w:t>
      </w:r>
    </w:p>
    <w:p w:rsidR="00C103B2" w:rsidRPr="0003714C" w:rsidRDefault="006E499D" w:rsidP="00C103B2">
      <w:pPr>
        <w:spacing w:line="360" w:lineRule="auto"/>
        <w:jc w:val="both"/>
        <w:rPr>
          <w:sz w:val="24"/>
          <w:szCs w:val="24"/>
        </w:rPr>
      </w:pPr>
      <w:r w:rsidRPr="0003714C">
        <w:rPr>
          <w:sz w:val="24"/>
          <w:szCs w:val="24"/>
        </w:rPr>
        <w:t>Finally, Chair,</w:t>
      </w:r>
      <w:r w:rsidR="005C6CA3" w:rsidRPr="0003714C">
        <w:rPr>
          <w:sz w:val="24"/>
          <w:szCs w:val="24"/>
        </w:rPr>
        <w:t xml:space="preserve"> </w:t>
      </w:r>
      <w:r w:rsidR="000B3812" w:rsidRPr="0003714C">
        <w:rPr>
          <w:sz w:val="24"/>
          <w:szCs w:val="24"/>
        </w:rPr>
        <w:t>w</w:t>
      </w:r>
      <w:r w:rsidRPr="0003714C">
        <w:rPr>
          <w:sz w:val="24"/>
          <w:szCs w:val="24"/>
        </w:rPr>
        <w:t xml:space="preserve">e agree </w:t>
      </w:r>
      <w:r w:rsidR="000B3812" w:rsidRPr="0003714C">
        <w:rPr>
          <w:sz w:val="24"/>
          <w:szCs w:val="24"/>
        </w:rPr>
        <w:t xml:space="preserve">with the Cassells report </w:t>
      </w:r>
      <w:r w:rsidRPr="0003714C">
        <w:rPr>
          <w:sz w:val="24"/>
          <w:szCs w:val="24"/>
        </w:rPr>
        <w:t>that increased contributions to higher education should be accounted for transparently in term</w:t>
      </w:r>
      <w:r w:rsidR="001A6FC6" w:rsidRPr="0003714C">
        <w:rPr>
          <w:sz w:val="24"/>
          <w:szCs w:val="24"/>
        </w:rPr>
        <w:t>s</w:t>
      </w:r>
      <w:r w:rsidRPr="0003714C">
        <w:rPr>
          <w:sz w:val="24"/>
          <w:szCs w:val="24"/>
        </w:rPr>
        <w:t xml:space="preserve"> of where </w:t>
      </w:r>
      <w:r w:rsidRPr="0003714C">
        <w:rPr>
          <w:sz w:val="24"/>
          <w:szCs w:val="24"/>
        </w:rPr>
        <w:lastRenderedPageBreak/>
        <w:t xml:space="preserve">the resources are going and what the spending is achieving. There have been significant improvements in this regard under the national strategy for Higher Education. </w:t>
      </w:r>
    </w:p>
    <w:p w:rsidR="006E499D" w:rsidRPr="0003714C" w:rsidRDefault="006E499D" w:rsidP="00C103B2">
      <w:pPr>
        <w:spacing w:line="360" w:lineRule="auto"/>
        <w:jc w:val="both"/>
        <w:rPr>
          <w:sz w:val="24"/>
          <w:szCs w:val="24"/>
        </w:rPr>
      </w:pPr>
      <w:r w:rsidRPr="0003714C">
        <w:rPr>
          <w:sz w:val="24"/>
          <w:szCs w:val="24"/>
        </w:rPr>
        <w:t xml:space="preserve">The HEA system performance report and strategic dialogue process and employer and student feedback surveys are a very solid platform to build on in this regard.  </w:t>
      </w:r>
    </w:p>
    <w:p w:rsidR="00BB33E1" w:rsidRPr="0003714C" w:rsidRDefault="006E499D" w:rsidP="00C103B2">
      <w:pPr>
        <w:spacing w:line="360" w:lineRule="auto"/>
        <w:jc w:val="both"/>
        <w:rPr>
          <w:sz w:val="24"/>
          <w:szCs w:val="24"/>
        </w:rPr>
      </w:pPr>
      <w:r w:rsidRPr="0003714C">
        <w:rPr>
          <w:sz w:val="24"/>
          <w:szCs w:val="24"/>
        </w:rPr>
        <w:t>In conclusion Chair, w</w:t>
      </w:r>
      <w:r w:rsidR="005C6CA3" w:rsidRPr="0003714C">
        <w:rPr>
          <w:sz w:val="24"/>
          <w:szCs w:val="24"/>
        </w:rPr>
        <w:t xml:space="preserve">e reiterate our endorsement </w:t>
      </w:r>
      <w:r w:rsidR="000C3890" w:rsidRPr="0003714C">
        <w:rPr>
          <w:sz w:val="24"/>
          <w:szCs w:val="24"/>
        </w:rPr>
        <w:t>of</w:t>
      </w:r>
      <w:r w:rsidR="005C6CA3" w:rsidRPr="0003714C">
        <w:rPr>
          <w:sz w:val="24"/>
          <w:szCs w:val="24"/>
        </w:rPr>
        <w:t xml:space="preserve"> the Cassells report and we support the committee in its important work of debating and making recommendations </w:t>
      </w:r>
      <w:r w:rsidR="000C3890" w:rsidRPr="0003714C">
        <w:rPr>
          <w:sz w:val="24"/>
          <w:szCs w:val="24"/>
        </w:rPr>
        <w:t xml:space="preserve">on </w:t>
      </w:r>
      <w:r w:rsidR="005C6CA3" w:rsidRPr="0003714C">
        <w:rPr>
          <w:sz w:val="24"/>
          <w:szCs w:val="24"/>
        </w:rPr>
        <w:t>measures needed to build a higher education system which supports our shared ambitions for an educated, prosperous and progressive society.</w:t>
      </w:r>
    </w:p>
    <w:p w:rsidR="006E499D" w:rsidRPr="0003714C" w:rsidRDefault="006E499D" w:rsidP="00C103B2">
      <w:pPr>
        <w:spacing w:line="360" w:lineRule="auto"/>
        <w:jc w:val="both"/>
        <w:rPr>
          <w:sz w:val="24"/>
          <w:szCs w:val="24"/>
        </w:rPr>
      </w:pPr>
    </w:p>
    <w:p w:rsidR="006E499D" w:rsidRPr="0003714C" w:rsidRDefault="006E499D" w:rsidP="00C103B2">
      <w:pPr>
        <w:spacing w:line="360" w:lineRule="auto"/>
        <w:jc w:val="both"/>
        <w:rPr>
          <w:b/>
          <w:sz w:val="24"/>
          <w:szCs w:val="24"/>
        </w:rPr>
      </w:pPr>
      <w:r w:rsidRPr="0003714C">
        <w:rPr>
          <w:sz w:val="24"/>
          <w:szCs w:val="24"/>
        </w:rPr>
        <w:t>Ends</w:t>
      </w:r>
      <w:bookmarkStart w:id="0" w:name="_GoBack"/>
      <w:bookmarkEnd w:id="0"/>
    </w:p>
    <w:sectPr w:rsidR="006E499D" w:rsidRPr="0003714C" w:rsidSect="00C103B2">
      <w:pgSz w:w="11906" w:h="16838"/>
      <w:pgMar w:top="1440" w:right="2268" w:bottom="907" w:left="212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CA9" w:rsidRDefault="00B53CA9" w:rsidP="00843FCB">
      <w:pPr>
        <w:spacing w:after="0" w:line="240" w:lineRule="auto"/>
      </w:pPr>
      <w:r>
        <w:separator/>
      </w:r>
    </w:p>
  </w:endnote>
  <w:endnote w:type="continuationSeparator" w:id="0">
    <w:p w:rsidR="00B53CA9" w:rsidRDefault="00B53CA9" w:rsidP="0084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CA9" w:rsidRDefault="00B53CA9" w:rsidP="00843FCB">
      <w:pPr>
        <w:spacing w:after="0" w:line="240" w:lineRule="auto"/>
      </w:pPr>
      <w:r>
        <w:separator/>
      </w:r>
    </w:p>
  </w:footnote>
  <w:footnote w:type="continuationSeparator" w:id="0">
    <w:p w:rsidR="00B53CA9" w:rsidRDefault="00B53CA9" w:rsidP="00843F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059C"/>
    <w:multiLevelType w:val="hybridMultilevel"/>
    <w:tmpl w:val="DC74FC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88D6FBB"/>
    <w:multiLevelType w:val="hybridMultilevel"/>
    <w:tmpl w:val="533C9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6A472DE"/>
    <w:multiLevelType w:val="hybridMultilevel"/>
    <w:tmpl w:val="0E1E01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7DCC42A2"/>
    <w:multiLevelType w:val="hybridMultilevel"/>
    <w:tmpl w:val="FC365F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E1C"/>
    <w:rsid w:val="00010E1C"/>
    <w:rsid w:val="00025068"/>
    <w:rsid w:val="0003714C"/>
    <w:rsid w:val="00053164"/>
    <w:rsid w:val="00061D05"/>
    <w:rsid w:val="00066CF2"/>
    <w:rsid w:val="00093ECA"/>
    <w:rsid w:val="000A2E0B"/>
    <w:rsid w:val="000B3812"/>
    <w:rsid w:val="000B7E2C"/>
    <w:rsid w:val="000C0961"/>
    <w:rsid w:val="000C3890"/>
    <w:rsid w:val="000C45A3"/>
    <w:rsid w:val="0010308E"/>
    <w:rsid w:val="00106526"/>
    <w:rsid w:val="0012653C"/>
    <w:rsid w:val="001574B0"/>
    <w:rsid w:val="0016150F"/>
    <w:rsid w:val="001A6FC6"/>
    <w:rsid w:val="001D6A22"/>
    <w:rsid w:val="001E61A6"/>
    <w:rsid w:val="00206D5B"/>
    <w:rsid w:val="002263AB"/>
    <w:rsid w:val="002457DB"/>
    <w:rsid w:val="00254DDA"/>
    <w:rsid w:val="0026645A"/>
    <w:rsid w:val="00271CDA"/>
    <w:rsid w:val="002758EB"/>
    <w:rsid w:val="00284FA8"/>
    <w:rsid w:val="00296469"/>
    <w:rsid w:val="00337538"/>
    <w:rsid w:val="00366114"/>
    <w:rsid w:val="003A0C47"/>
    <w:rsid w:val="003C58F8"/>
    <w:rsid w:val="003F0659"/>
    <w:rsid w:val="0041493A"/>
    <w:rsid w:val="004276A4"/>
    <w:rsid w:val="00454FDA"/>
    <w:rsid w:val="004667BF"/>
    <w:rsid w:val="00474176"/>
    <w:rsid w:val="004A2112"/>
    <w:rsid w:val="004B49DE"/>
    <w:rsid w:val="004E4366"/>
    <w:rsid w:val="00525C32"/>
    <w:rsid w:val="00536670"/>
    <w:rsid w:val="00563C90"/>
    <w:rsid w:val="00565B56"/>
    <w:rsid w:val="005C063E"/>
    <w:rsid w:val="005C676F"/>
    <w:rsid w:val="005C6AD3"/>
    <w:rsid w:val="005C6CA3"/>
    <w:rsid w:val="005D59F9"/>
    <w:rsid w:val="005D69C1"/>
    <w:rsid w:val="005E14DD"/>
    <w:rsid w:val="005E3E1D"/>
    <w:rsid w:val="0060787A"/>
    <w:rsid w:val="006576E4"/>
    <w:rsid w:val="0068283A"/>
    <w:rsid w:val="00692150"/>
    <w:rsid w:val="006B0F56"/>
    <w:rsid w:val="006C1995"/>
    <w:rsid w:val="006E499D"/>
    <w:rsid w:val="006F014B"/>
    <w:rsid w:val="006F284D"/>
    <w:rsid w:val="00720BD6"/>
    <w:rsid w:val="0075158A"/>
    <w:rsid w:val="007A213F"/>
    <w:rsid w:val="00805FA8"/>
    <w:rsid w:val="008208C2"/>
    <w:rsid w:val="00843FCB"/>
    <w:rsid w:val="00852689"/>
    <w:rsid w:val="00875392"/>
    <w:rsid w:val="008A6132"/>
    <w:rsid w:val="008B6846"/>
    <w:rsid w:val="008D33F9"/>
    <w:rsid w:val="00953AF6"/>
    <w:rsid w:val="00971CB9"/>
    <w:rsid w:val="009770B3"/>
    <w:rsid w:val="00997B94"/>
    <w:rsid w:val="009A4832"/>
    <w:rsid w:val="009A6452"/>
    <w:rsid w:val="00A03766"/>
    <w:rsid w:val="00A10048"/>
    <w:rsid w:val="00A62FE0"/>
    <w:rsid w:val="00AB3F66"/>
    <w:rsid w:val="00AC3155"/>
    <w:rsid w:val="00B27704"/>
    <w:rsid w:val="00B327F5"/>
    <w:rsid w:val="00B51EB8"/>
    <w:rsid w:val="00B53CA9"/>
    <w:rsid w:val="00BA1B8C"/>
    <w:rsid w:val="00BB33E1"/>
    <w:rsid w:val="00BD6C9C"/>
    <w:rsid w:val="00BD7812"/>
    <w:rsid w:val="00C103B2"/>
    <w:rsid w:val="00C110C3"/>
    <w:rsid w:val="00C459F3"/>
    <w:rsid w:val="00C75320"/>
    <w:rsid w:val="00C83D4C"/>
    <w:rsid w:val="00CC0386"/>
    <w:rsid w:val="00CD00C8"/>
    <w:rsid w:val="00CE5602"/>
    <w:rsid w:val="00D32FDC"/>
    <w:rsid w:val="00D42C22"/>
    <w:rsid w:val="00D5011F"/>
    <w:rsid w:val="00D637A3"/>
    <w:rsid w:val="00D71E9B"/>
    <w:rsid w:val="00DA16DD"/>
    <w:rsid w:val="00DB75F2"/>
    <w:rsid w:val="00E131F1"/>
    <w:rsid w:val="00E279ED"/>
    <w:rsid w:val="00E35559"/>
    <w:rsid w:val="00E47B78"/>
    <w:rsid w:val="00E565E1"/>
    <w:rsid w:val="00E6286A"/>
    <w:rsid w:val="00E82293"/>
    <w:rsid w:val="00E83F91"/>
    <w:rsid w:val="00E85FD7"/>
    <w:rsid w:val="00EC1084"/>
    <w:rsid w:val="00EE3325"/>
    <w:rsid w:val="00F15F1D"/>
    <w:rsid w:val="00F17176"/>
    <w:rsid w:val="00F213AA"/>
    <w:rsid w:val="00F35001"/>
    <w:rsid w:val="00F43E02"/>
    <w:rsid w:val="00F670F1"/>
    <w:rsid w:val="00F87C2E"/>
    <w:rsid w:val="00FC4705"/>
    <w:rsid w:val="00FE29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71C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1C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3FCB"/>
    <w:pPr>
      <w:keepNext/>
      <w:keepLines/>
      <w:spacing w:before="200" w:after="0"/>
      <w:ind w:left="72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1C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1CD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71C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71CD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459F3"/>
    <w:pPr>
      <w:ind w:left="720"/>
      <w:contextualSpacing/>
    </w:pPr>
  </w:style>
  <w:style w:type="character" w:customStyle="1" w:styleId="Heading4Char">
    <w:name w:val="Heading 4 Char"/>
    <w:basedOn w:val="DefaultParagraphFont"/>
    <w:link w:val="Heading4"/>
    <w:uiPriority w:val="9"/>
    <w:rsid w:val="00843FCB"/>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843FCB"/>
    <w:pPr>
      <w:spacing w:after="0" w:line="240" w:lineRule="auto"/>
      <w:ind w:left="720"/>
    </w:pPr>
    <w:rPr>
      <w:sz w:val="20"/>
      <w:szCs w:val="20"/>
    </w:rPr>
  </w:style>
  <w:style w:type="character" w:customStyle="1" w:styleId="FootnoteTextChar">
    <w:name w:val="Footnote Text Char"/>
    <w:basedOn w:val="DefaultParagraphFont"/>
    <w:link w:val="FootnoteText"/>
    <w:uiPriority w:val="99"/>
    <w:semiHidden/>
    <w:rsid w:val="00843FCB"/>
    <w:rPr>
      <w:sz w:val="20"/>
      <w:szCs w:val="20"/>
    </w:rPr>
  </w:style>
  <w:style w:type="character" w:styleId="FootnoteReference">
    <w:name w:val="footnote reference"/>
    <w:basedOn w:val="DefaultParagraphFont"/>
    <w:uiPriority w:val="99"/>
    <w:semiHidden/>
    <w:unhideWhenUsed/>
    <w:rsid w:val="00843FCB"/>
    <w:rPr>
      <w:vertAlign w:val="superscript"/>
    </w:rPr>
  </w:style>
  <w:style w:type="paragraph" w:styleId="BalloonText">
    <w:name w:val="Balloon Text"/>
    <w:basedOn w:val="Normal"/>
    <w:link w:val="BalloonTextChar"/>
    <w:uiPriority w:val="99"/>
    <w:semiHidden/>
    <w:unhideWhenUsed/>
    <w:rsid w:val="00843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FCB"/>
    <w:rPr>
      <w:rFonts w:ascii="Tahoma" w:hAnsi="Tahoma" w:cs="Tahoma"/>
      <w:sz w:val="16"/>
      <w:szCs w:val="16"/>
    </w:rPr>
  </w:style>
  <w:style w:type="paragraph" w:customStyle="1" w:styleId="Default">
    <w:name w:val="Default"/>
    <w:rsid w:val="00BB33E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47B78"/>
    <w:rPr>
      <w:sz w:val="16"/>
      <w:szCs w:val="16"/>
    </w:rPr>
  </w:style>
  <w:style w:type="paragraph" w:styleId="CommentText">
    <w:name w:val="annotation text"/>
    <w:basedOn w:val="Normal"/>
    <w:link w:val="CommentTextChar"/>
    <w:uiPriority w:val="99"/>
    <w:semiHidden/>
    <w:unhideWhenUsed/>
    <w:rsid w:val="00E47B78"/>
    <w:pPr>
      <w:spacing w:line="240" w:lineRule="auto"/>
    </w:pPr>
    <w:rPr>
      <w:sz w:val="20"/>
      <w:szCs w:val="20"/>
    </w:rPr>
  </w:style>
  <w:style w:type="character" w:customStyle="1" w:styleId="CommentTextChar">
    <w:name w:val="Comment Text Char"/>
    <w:basedOn w:val="DefaultParagraphFont"/>
    <w:link w:val="CommentText"/>
    <w:uiPriority w:val="99"/>
    <w:semiHidden/>
    <w:rsid w:val="00E47B78"/>
    <w:rPr>
      <w:sz w:val="20"/>
      <w:szCs w:val="20"/>
    </w:rPr>
  </w:style>
  <w:style w:type="paragraph" w:styleId="CommentSubject">
    <w:name w:val="annotation subject"/>
    <w:basedOn w:val="CommentText"/>
    <w:next w:val="CommentText"/>
    <w:link w:val="CommentSubjectChar"/>
    <w:uiPriority w:val="99"/>
    <w:semiHidden/>
    <w:unhideWhenUsed/>
    <w:rsid w:val="00E47B78"/>
    <w:rPr>
      <w:b/>
      <w:bCs/>
    </w:rPr>
  </w:style>
  <w:style w:type="character" w:customStyle="1" w:styleId="CommentSubjectChar">
    <w:name w:val="Comment Subject Char"/>
    <w:basedOn w:val="CommentTextChar"/>
    <w:link w:val="CommentSubject"/>
    <w:uiPriority w:val="99"/>
    <w:semiHidden/>
    <w:rsid w:val="00E47B7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71C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1C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3FCB"/>
    <w:pPr>
      <w:keepNext/>
      <w:keepLines/>
      <w:spacing w:before="200" w:after="0"/>
      <w:ind w:left="72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1C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1CD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71C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71CD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459F3"/>
    <w:pPr>
      <w:ind w:left="720"/>
      <w:contextualSpacing/>
    </w:pPr>
  </w:style>
  <w:style w:type="character" w:customStyle="1" w:styleId="Heading4Char">
    <w:name w:val="Heading 4 Char"/>
    <w:basedOn w:val="DefaultParagraphFont"/>
    <w:link w:val="Heading4"/>
    <w:uiPriority w:val="9"/>
    <w:rsid w:val="00843FCB"/>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843FCB"/>
    <w:pPr>
      <w:spacing w:after="0" w:line="240" w:lineRule="auto"/>
      <w:ind w:left="720"/>
    </w:pPr>
    <w:rPr>
      <w:sz w:val="20"/>
      <w:szCs w:val="20"/>
    </w:rPr>
  </w:style>
  <w:style w:type="character" w:customStyle="1" w:styleId="FootnoteTextChar">
    <w:name w:val="Footnote Text Char"/>
    <w:basedOn w:val="DefaultParagraphFont"/>
    <w:link w:val="FootnoteText"/>
    <w:uiPriority w:val="99"/>
    <w:semiHidden/>
    <w:rsid w:val="00843FCB"/>
    <w:rPr>
      <w:sz w:val="20"/>
      <w:szCs w:val="20"/>
    </w:rPr>
  </w:style>
  <w:style w:type="character" w:styleId="FootnoteReference">
    <w:name w:val="footnote reference"/>
    <w:basedOn w:val="DefaultParagraphFont"/>
    <w:uiPriority w:val="99"/>
    <w:semiHidden/>
    <w:unhideWhenUsed/>
    <w:rsid w:val="00843FCB"/>
    <w:rPr>
      <w:vertAlign w:val="superscript"/>
    </w:rPr>
  </w:style>
  <w:style w:type="paragraph" w:styleId="BalloonText">
    <w:name w:val="Balloon Text"/>
    <w:basedOn w:val="Normal"/>
    <w:link w:val="BalloonTextChar"/>
    <w:uiPriority w:val="99"/>
    <w:semiHidden/>
    <w:unhideWhenUsed/>
    <w:rsid w:val="00843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FCB"/>
    <w:rPr>
      <w:rFonts w:ascii="Tahoma" w:hAnsi="Tahoma" w:cs="Tahoma"/>
      <w:sz w:val="16"/>
      <w:szCs w:val="16"/>
    </w:rPr>
  </w:style>
  <w:style w:type="paragraph" w:customStyle="1" w:styleId="Default">
    <w:name w:val="Default"/>
    <w:rsid w:val="00BB33E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47B78"/>
    <w:rPr>
      <w:sz w:val="16"/>
      <w:szCs w:val="16"/>
    </w:rPr>
  </w:style>
  <w:style w:type="paragraph" w:styleId="CommentText">
    <w:name w:val="annotation text"/>
    <w:basedOn w:val="Normal"/>
    <w:link w:val="CommentTextChar"/>
    <w:uiPriority w:val="99"/>
    <w:semiHidden/>
    <w:unhideWhenUsed/>
    <w:rsid w:val="00E47B78"/>
    <w:pPr>
      <w:spacing w:line="240" w:lineRule="auto"/>
    </w:pPr>
    <w:rPr>
      <w:sz w:val="20"/>
      <w:szCs w:val="20"/>
    </w:rPr>
  </w:style>
  <w:style w:type="character" w:customStyle="1" w:styleId="CommentTextChar">
    <w:name w:val="Comment Text Char"/>
    <w:basedOn w:val="DefaultParagraphFont"/>
    <w:link w:val="CommentText"/>
    <w:uiPriority w:val="99"/>
    <w:semiHidden/>
    <w:rsid w:val="00E47B78"/>
    <w:rPr>
      <w:sz w:val="20"/>
      <w:szCs w:val="20"/>
    </w:rPr>
  </w:style>
  <w:style w:type="paragraph" w:styleId="CommentSubject">
    <w:name w:val="annotation subject"/>
    <w:basedOn w:val="CommentText"/>
    <w:next w:val="CommentText"/>
    <w:link w:val="CommentSubjectChar"/>
    <w:uiPriority w:val="99"/>
    <w:semiHidden/>
    <w:unhideWhenUsed/>
    <w:rsid w:val="00E47B78"/>
    <w:rPr>
      <w:b/>
      <w:bCs/>
    </w:rPr>
  </w:style>
  <w:style w:type="character" w:customStyle="1" w:styleId="CommentSubjectChar">
    <w:name w:val="Comment Subject Char"/>
    <w:basedOn w:val="CommentTextChar"/>
    <w:link w:val="CommentSubject"/>
    <w:uiPriority w:val="99"/>
    <w:semiHidden/>
    <w:rsid w:val="00E47B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149FD-0468-487E-BE47-77E0E7CBB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 Costello</dc:creator>
  <cp:lastModifiedBy>Lia O'Sullivan</cp:lastModifiedBy>
  <cp:revision>13</cp:revision>
  <cp:lastPrinted>2016-11-09T17:58:00Z</cp:lastPrinted>
  <dcterms:created xsi:type="dcterms:W3CDTF">2016-10-26T16:03:00Z</dcterms:created>
  <dcterms:modified xsi:type="dcterms:W3CDTF">2016-11-11T11:35:00Z</dcterms:modified>
</cp:coreProperties>
</file>